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3" w:rsidRPr="00C95B38" w:rsidRDefault="00834643" w:rsidP="00B74AEC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95B38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Appendix </w:t>
      </w:r>
      <w:r w:rsidR="00C95B38" w:rsidRPr="00C95B38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>2</w:t>
      </w:r>
      <w:r w:rsidR="00910831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>0</w:t>
      </w:r>
      <w:r w:rsidRPr="00C95B38">
        <w:rPr>
          <w:rStyle w:val="hps"/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– </w:t>
      </w:r>
      <w:r w:rsidR="00C95B38" w:rsidRPr="00C95B38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Research performance</w:t>
      </w:r>
      <w:r w:rsidR="008300FF"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  <w:t xml:space="preserve">, </w:t>
      </w:r>
      <w:r w:rsidR="00C95B38" w:rsidRPr="00C95B38">
        <w:rPr>
          <w:rFonts w:asciiTheme="minorHAnsi" w:hAnsiTheme="minorHAnsi" w:cstheme="minorHAnsi"/>
          <w:b/>
          <w:color w:val="000000" w:themeColor="text1"/>
          <w:sz w:val="28"/>
          <w:szCs w:val="28"/>
          <w:lang w:val="ro-RO"/>
        </w:rPr>
        <w:t>at national and international level</w:t>
      </w:r>
    </w:p>
    <w:p w:rsidR="00D573BF" w:rsidRDefault="00C95B38" w:rsidP="00B74AE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  <w:r w:rsidRPr="00C95B38">
        <w:rPr>
          <w:rFonts w:asciiTheme="minorHAnsi" w:hAnsiTheme="minorHAnsi" w:cstheme="minorHAnsi"/>
          <w:b/>
          <w:noProof/>
          <w:color w:val="333333"/>
          <w:sz w:val="24"/>
          <w:szCs w:val="24"/>
        </w:rPr>
        <w:drawing>
          <wp:inline distT="0" distB="0" distL="0" distR="0">
            <wp:extent cx="5404022" cy="3303373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5B38" w:rsidRDefault="00A8316F" w:rsidP="00B74AE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  <w:r w:rsidRPr="0042787E">
        <w:rPr>
          <w:rFonts w:asciiTheme="minorHAnsi" w:hAnsiTheme="minorHAnsi" w:cstheme="minorHAnsi"/>
          <w:b/>
          <w:noProof/>
          <w:color w:val="333333"/>
          <w:sz w:val="24"/>
          <w:szCs w:val="24"/>
        </w:rPr>
        <w:drawing>
          <wp:inline distT="0" distB="0" distL="0" distR="0">
            <wp:extent cx="5511114" cy="3822356"/>
            <wp:effectExtent l="0" t="0" r="0" b="0"/>
            <wp:docPr id="1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787E" w:rsidRDefault="0042787E" w:rsidP="00B74AE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</w:p>
    <w:p w:rsidR="0042787E" w:rsidRDefault="0042787E" w:rsidP="00B74AE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</w:p>
    <w:p w:rsidR="0042787E" w:rsidRPr="0042787E" w:rsidRDefault="00E55C5A" w:rsidP="0042787E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42787E">
        <w:rPr>
          <w:rFonts w:asciiTheme="minorHAnsi" w:hAnsiTheme="minorHAnsi" w:cstheme="minorHAnsi"/>
          <w:b/>
          <w:noProof/>
          <w:color w:val="333333"/>
          <w:sz w:val="24"/>
          <w:szCs w:val="24"/>
        </w:rPr>
        <w:drawing>
          <wp:inline distT="0" distB="0" distL="0" distR="0">
            <wp:extent cx="5717059" cy="3328086"/>
            <wp:effectExtent l="0" t="0" r="0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787E" w:rsidRDefault="0042787E" w:rsidP="00B74AE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  <w:r w:rsidRPr="0042787E">
        <w:rPr>
          <w:rFonts w:asciiTheme="minorHAnsi" w:hAnsiTheme="minorHAnsi" w:cstheme="minorHAnsi"/>
          <w:b/>
          <w:noProof/>
          <w:color w:val="333333"/>
          <w:sz w:val="24"/>
          <w:szCs w:val="24"/>
        </w:rPr>
        <w:drawing>
          <wp:inline distT="0" distB="0" distL="0" distR="0">
            <wp:extent cx="5943600" cy="3907971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787E" w:rsidRDefault="0042787E" w:rsidP="00B74AE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</w:p>
    <w:p w:rsidR="00146654" w:rsidRDefault="00146654" w:rsidP="00D57ECD">
      <w:p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146654" w:rsidRDefault="00146654" w:rsidP="00D57ECD">
      <w:p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146654">
        <w:rPr>
          <w:rFonts w:asciiTheme="minorHAnsi" w:hAnsiTheme="minorHAnsi" w:cstheme="minorHAnsi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5943600" cy="3907971"/>
            <wp:effectExtent l="0" t="0" r="0" b="0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316F" w:rsidRDefault="00A8316F">
      <w:pPr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</w:rPr>
        <w:br w:type="page"/>
      </w:r>
    </w:p>
    <w:p w:rsidR="00146654" w:rsidRDefault="00146654" w:rsidP="00D57ECD">
      <w:p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D57ECD" w:rsidRPr="00867F62" w:rsidRDefault="00370667" w:rsidP="00FF34C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867F62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</w:rPr>
        <w:t>JOURNALS PUBLISHED UNDER UNIVERSITY’S AEGIS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Notulae Botanicae Horti Agrobotanici Cluj-Napoca</w:t>
      </w:r>
      <w:r w:rsidRPr="00D57ECD"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  <w:t xml:space="preserve"> (A) 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Bulletin of University of Agricultural Sciences and Veterinary Medicine Cluj-Napoca. Agriculture</w:t>
      </w:r>
      <w:r w:rsidRPr="00D57ECD"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  <w:t xml:space="preserve"> (</w:t>
      </w:r>
      <w:r w:rsidRPr="00D57ECD">
        <w:rPr>
          <w:rFonts w:asciiTheme="minorHAnsi" w:hAnsiTheme="minorHAnsi" w:cstheme="minorHAnsi"/>
          <w:b/>
          <w:bCs/>
          <w:color w:val="333333"/>
          <w:sz w:val="24"/>
          <w:szCs w:val="24"/>
        </w:rPr>
        <w:t>B</w:t>
      </w:r>
      <w:r w:rsidRPr="00D57ECD"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  <w:t>+)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 xml:space="preserve"> 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Bulletin of University of Agricultural Sciences and Veterinary Medicine Cluj-Napoca. Horticulture</w:t>
      </w:r>
      <w:r w:rsidRPr="00D57ECD"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  <w:t xml:space="preserve"> (B+)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 xml:space="preserve"> 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Bulletin of University of Agricultural Sciences and Veterinary Medicine Cluj-Napoca. Animal Breeding and Biotechnology</w:t>
      </w:r>
      <w:r w:rsidRPr="00D57ECD"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  <w:t xml:space="preserve"> B+)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 xml:space="preserve"> 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Bulletin of University of Agricultural Sciences and Veterinary Medicine Cluj-Napoca. Veterinary Medicine</w:t>
      </w:r>
      <w:r w:rsidRPr="00D57ECD"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  <w:t xml:space="preserve"> (B+)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 xml:space="preserve"> 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Agricultura – revistă de ştiinţă şi practică agricolă</w:t>
      </w:r>
      <w:r w:rsidRPr="00D57ECD"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  <w:t xml:space="preserve"> (B+)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 xml:space="preserve"> 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Notulae Scientia Biologicae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</w:rPr>
        <w:t xml:space="preserve"> 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Revista Scientia Parasitologica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</w:rPr>
        <w:t xml:space="preserve"> 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ProEnvironment/ProMediu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</w:rPr>
        <w:t xml:space="preserve"> 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Clujul Medical Veterinar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</w:rPr>
        <w:t xml:space="preserve"> 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Protecţia plantelor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</w:rPr>
        <w:t xml:space="preserve"> 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 xml:space="preserve">Hameiul şi plantele medicinale 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</w:rPr>
        <w:t xml:space="preserve"> 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 xml:space="preserve">The Romanian Society for Grassland Journal </w:t>
      </w:r>
      <w:r w:rsidR="00910831">
        <w:rPr>
          <w:rFonts w:asciiTheme="minorHAnsi" w:hAnsiTheme="minorHAnsi" w:cstheme="minorHAnsi"/>
          <w:b/>
          <w:bCs/>
          <w:iCs/>
          <w:color w:val="333333"/>
          <w:sz w:val="24"/>
          <w:szCs w:val="24"/>
          <w:lang w:val="ro-RO"/>
        </w:rPr>
        <w:t xml:space="preserve"> (2 issues/year)</w:t>
      </w:r>
    </w:p>
    <w:p w:rsidR="007D61DA" w:rsidRPr="00D57ECD" w:rsidRDefault="006B2676" w:rsidP="00D57ECD">
      <w:pPr>
        <w:numPr>
          <w:ilvl w:val="0"/>
          <w:numId w:val="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</w:rPr>
        <w:t xml:space="preserve"> </w:t>
      </w:r>
      <w:r w:rsidRPr="00D57ECD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>Hortus Agrobotanicus Napocensis - Index Seminum</w:t>
      </w:r>
      <w:r w:rsidR="00910831">
        <w:rPr>
          <w:rFonts w:asciiTheme="minorHAnsi" w:hAnsiTheme="minorHAnsi" w:cstheme="minorHAnsi"/>
          <w:b/>
          <w:bCs/>
          <w:i/>
          <w:iCs/>
          <w:color w:val="333333"/>
          <w:sz w:val="24"/>
          <w:szCs w:val="24"/>
          <w:lang w:val="ro-RO"/>
        </w:rPr>
        <w:t xml:space="preserve"> </w:t>
      </w:r>
      <w:r w:rsidR="00910831">
        <w:rPr>
          <w:rFonts w:asciiTheme="minorHAnsi" w:hAnsiTheme="minorHAnsi" w:cstheme="minorHAnsi"/>
          <w:b/>
          <w:bCs/>
          <w:iCs/>
          <w:color w:val="333333"/>
          <w:sz w:val="24"/>
          <w:szCs w:val="24"/>
          <w:lang w:val="ro-RO"/>
        </w:rPr>
        <w:t>(1 issue/year)</w:t>
      </w:r>
    </w:p>
    <w:p w:rsidR="00A8316F" w:rsidRDefault="00A8316F">
      <w:pPr>
        <w:spacing w:after="0" w:line="240" w:lineRule="auto"/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  <w:br w:type="page"/>
      </w:r>
    </w:p>
    <w:p w:rsidR="00D57ECD" w:rsidRDefault="00D57ECD" w:rsidP="00D57ECD">
      <w:pPr>
        <w:ind w:left="360"/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</w:pPr>
    </w:p>
    <w:p w:rsidR="00D57ECD" w:rsidRPr="00867F62" w:rsidRDefault="00E52FA3" w:rsidP="00D57ECD">
      <w:pPr>
        <w:ind w:left="360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867F62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ro-RO"/>
        </w:rPr>
        <w:t xml:space="preserve">The journal </w:t>
      </w:r>
      <w:r w:rsidR="00D57ECD" w:rsidRPr="00867F62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ro-RO"/>
        </w:rPr>
        <w:t xml:space="preserve">”NOTULAE BOTANICAE HORTI AGROBOTANICI CLUJ-NAPOCA” </w:t>
      </w:r>
      <w:r w:rsidRPr="00867F62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ro-RO"/>
        </w:rPr>
        <w:t>indexing by Thomson Reuters</w:t>
      </w:r>
      <w:r w:rsidR="00D57ECD" w:rsidRPr="00867F62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</w:rPr>
        <w:t xml:space="preserve"> </w:t>
      </w:r>
    </w:p>
    <w:p w:rsidR="00D57ECD" w:rsidRDefault="00B53422" w:rsidP="00CE6AA9">
      <w:pPr>
        <w:jc w:val="center"/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33333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25pt;margin-top:37.35pt;width:125.8pt;height:21.9pt;z-index:251658240" fillcolor="#ffc">
            <v:shadow on="t"/>
            <v:textbox>
              <w:txbxContent>
                <w:p w:rsidR="00370667" w:rsidRPr="00CE6AA9" w:rsidRDefault="00370667" w:rsidP="00CE6AA9">
                  <w:pPr>
                    <w:jc w:val="center"/>
                    <w:rPr>
                      <w:b/>
                    </w:rPr>
                  </w:pPr>
                  <w:r w:rsidRPr="00CE6AA9">
                    <w:rPr>
                      <w:b/>
                    </w:rPr>
                    <w:t>ISI Impact factor = 0.468</w:t>
                  </w:r>
                </w:p>
              </w:txbxContent>
            </v:textbox>
          </v:shape>
        </w:pict>
      </w:r>
      <w:r w:rsidR="00D57ECD" w:rsidRPr="00D57ECD">
        <w:rPr>
          <w:rFonts w:asciiTheme="minorHAnsi" w:hAnsiTheme="minorHAnsi" w:cstheme="minorHAnsi"/>
          <w:b/>
          <w:noProof/>
          <w:color w:val="333333"/>
          <w:sz w:val="24"/>
          <w:szCs w:val="24"/>
        </w:rPr>
        <w:drawing>
          <wp:inline distT="0" distB="0" distL="0" distR="0">
            <wp:extent cx="5943600" cy="4041140"/>
            <wp:effectExtent l="19050" t="0" r="0" b="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5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CD" w:rsidRDefault="00D57ECD" w:rsidP="00FF34C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</w:p>
    <w:p w:rsidR="00D57ECD" w:rsidRDefault="00D57ECD" w:rsidP="00D57ECD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57ECD">
        <w:rPr>
          <w:rFonts w:asciiTheme="minorHAnsi" w:hAnsiTheme="minorHAnsi" w:cstheme="minorHAnsi"/>
          <w:b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5654040" cy="3764280"/>
            <wp:effectExtent l="0" t="0" r="0" b="0"/>
            <wp:docPr id="1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6AC5" w:rsidRDefault="00D57ECD" w:rsidP="00D57ECD">
      <w:pPr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</w:pPr>
      <w:r w:rsidRPr="00D57ECD">
        <w:rPr>
          <w:rFonts w:asciiTheme="minorHAnsi" w:hAnsiTheme="minorHAnsi" w:cstheme="minorHAnsi"/>
          <w:b/>
          <w:bCs/>
          <w:color w:val="333333"/>
          <w:sz w:val="24"/>
          <w:szCs w:val="24"/>
          <w:lang w:val="ro-RO"/>
        </w:rPr>
        <w:t xml:space="preserve"> </w:t>
      </w:r>
    </w:p>
    <w:p w:rsidR="00A8316F" w:rsidRDefault="005A6AC5" w:rsidP="00D57ECD">
      <w:p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5A6AC5">
        <w:rPr>
          <w:rFonts w:asciiTheme="minorHAnsi" w:hAnsiTheme="minorHAnsi" w:cstheme="minorHAnsi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5669280" cy="3657600"/>
            <wp:effectExtent l="0" t="0" r="0" b="0"/>
            <wp:docPr id="16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57ECD" w:rsidRDefault="00E52FA3" w:rsidP="00056DFC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</w:rPr>
      </w:pPr>
      <w:r w:rsidRPr="00910831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ro-RO"/>
        </w:rPr>
        <w:lastRenderedPageBreak/>
        <w:t xml:space="preserve">UNIVERSITY’S </w:t>
      </w:r>
      <w:r w:rsidR="00A73C0B" w:rsidRPr="00910831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ro-RO"/>
        </w:rPr>
        <w:t xml:space="preserve">ACADEMIC </w:t>
      </w:r>
      <w:r w:rsidRPr="00910831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ro-RO"/>
        </w:rPr>
        <w:t xml:space="preserve">PERSONALITIES ELECTED AS </w:t>
      </w:r>
      <w:r w:rsidR="00A8316F" w:rsidRPr="00910831">
        <w:rPr>
          <w:rFonts w:asciiTheme="minorHAnsi" w:hAnsiTheme="minorHAnsi" w:cstheme="minorHAnsi"/>
          <w:b/>
          <w:bCs/>
          <w:color w:val="333333"/>
          <w:sz w:val="24"/>
          <w:szCs w:val="24"/>
          <w:u w:val="single"/>
          <w:lang w:val="ro-RO"/>
        </w:rPr>
        <w:t>ACADEMY MEMBERS</w:t>
      </w:r>
    </w:p>
    <w:p w:rsidR="00910831" w:rsidRPr="00910831" w:rsidRDefault="00910831" w:rsidP="00910831">
      <w:pPr>
        <w:spacing w:after="0" w:line="240" w:lineRule="auto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</w:p>
    <w:tbl>
      <w:tblPr>
        <w:tblW w:w="10044" w:type="dxa"/>
        <w:tblCellMar>
          <w:left w:w="0" w:type="dxa"/>
          <w:right w:w="0" w:type="dxa"/>
        </w:tblCellMar>
        <w:tblLook w:val="04A0"/>
      </w:tblPr>
      <w:tblGrid>
        <w:gridCol w:w="4194"/>
        <w:gridCol w:w="5850"/>
      </w:tblGrid>
      <w:tr w:rsidR="00D57ECD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1DA" w:rsidRPr="00056DFC" w:rsidRDefault="00D57ECD" w:rsidP="008623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Doru </w:t>
            </w:r>
            <w:r w:rsidR="00910831" w:rsidRPr="00056DFC">
              <w:rPr>
                <w:rFonts w:asciiTheme="minorHAnsi" w:hAnsiTheme="minorHAnsi" w:cstheme="minorHAnsi"/>
                <w:color w:val="333333"/>
                <w:lang w:val="ro-RO"/>
              </w:rPr>
              <w:t>PAMFIL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7935E8" w:rsidRPr="00056DFC">
              <w:rPr>
                <w:rFonts w:asciiTheme="minorHAnsi" w:hAnsiTheme="minorHAnsi" w:cs="Calibri"/>
              </w:rPr>
              <w:t>PhD, Professor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1DA" w:rsidRPr="00056DFC" w:rsidRDefault="002D2693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>Romanian Academy Corresponding Member</w:t>
            </w:r>
          </w:p>
        </w:tc>
      </w:tr>
      <w:tr w:rsidR="00D57ECD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1DA" w:rsidRPr="00056DFC" w:rsidRDefault="00D57ECD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Alexandru </w:t>
            </w:r>
            <w:r w:rsidR="00910831" w:rsidRPr="00056DFC">
              <w:rPr>
                <w:rFonts w:asciiTheme="minorHAnsi" w:hAnsiTheme="minorHAnsi" w:cstheme="minorHAnsi"/>
                <w:color w:val="333333"/>
                <w:lang w:val="ro-RO"/>
              </w:rPr>
              <w:t>SALONTAI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7935E8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7935E8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1DA" w:rsidRPr="00056DFC" w:rsidRDefault="002D2693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Honorary Member of the </w:t>
            </w:r>
            <w:r w:rsidR="00A8316F"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Romanian </w:t>
            </w:r>
            <w:r w:rsidRPr="00056DFC">
              <w:rPr>
                <w:rFonts w:asciiTheme="minorHAnsi" w:hAnsiTheme="minorHAnsi"/>
                <w:color w:val="000000"/>
              </w:rPr>
              <w:t xml:space="preserve">Academy of Agricultural and Forestry Sciences "Gheorghe Ionescu </w:t>
            </w:r>
            <w:r w:rsidR="00A8316F" w:rsidRPr="00056DFC">
              <w:rPr>
                <w:rFonts w:asciiTheme="minorHAnsi" w:hAnsiTheme="minorHAnsi"/>
                <w:color w:val="000000"/>
              </w:rPr>
              <w:t>–</w:t>
            </w:r>
            <w:r w:rsidRPr="00056DFC">
              <w:rPr>
                <w:rFonts w:asciiTheme="minorHAnsi" w:hAnsiTheme="minorHAnsi"/>
                <w:color w:val="000000"/>
              </w:rPr>
              <w:t xml:space="preserve">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</w:t>
            </w:r>
            <w:r w:rsidR="00A8316F" w:rsidRPr="00056DFC">
              <w:rPr>
                <w:rFonts w:asciiTheme="minorHAnsi" w:hAnsiTheme="minorHAnsi"/>
                <w:color w:val="000000"/>
              </w:rPr>
              <w:t>”</w:t>
            </w:r>
          </w:p>
        </w:tc>
      </w:tr>
      <w:tr w:rsidR="00D57ECD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1DA" w:rsidRPr="00056DFC" w:rsidRDefault="00D57ECD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Eronim </w:t>
            </w:r>
            <w:r w:rsidR="00910831" w:rsidRPr="00056DFC">
              <w:rPr>
                <w:rFonts w:asciiTheme="minorHAnsi" w:hAnsiTheme="minorHAnsi" w:cstheme="minorHAnsi"/>
                <w:color w:val="333333"/>
                <w:lang w:val="ro-RO"/>
              </w:rPr>
              <w:t>ŞUTEU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7935E8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7935E8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1DA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Honorary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D57ECD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1DA" w:rsidRPr="00056DFC" w:rsidRDefault="00D57ECD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Leon Sorin </w:t>
            </w:r>
            <w:r w:rsidR="00910831" w:rsidRPr="00056DFC">
              <w:rPr>
                <w:rFonts w:asciiTheme="minorHAnsi" w:hAnsiTheme="minorHAnsi" w:cstheme="minorHAnsi"/>
                <w:color w:val="333333"/>
                <w:lang w:val="ro-RO"/>
              </w:rPr>
              <w:t>MUNTEAN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61DA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Full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Alexandru Ioan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BABA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Full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43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Mihai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RUSU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Full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2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Liviu Al.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MĂRGHITAŞ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Full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277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Vasile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COZMA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Full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Viorel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BUDIU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Corresponding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88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Ioan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HAŞ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="007935E8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Corresponding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Ioan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GROZA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Corresponding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Petru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GUŞ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Doru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PAMFIL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Silviu Al.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APAHIDEAN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lastRenderedPageBreak/>
              <w:t xml:space="preserve">Radu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SESTRAŞ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Ioan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BUD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Gheorghe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RĂPUNTEAN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Marina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SPÎNU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Carmen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SOCACIU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Alexandru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NAGHIU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  <w:tr w:rsidR="00A8316F" w:rsidRPr="00056DFC" w:rsidTr="00910831">
        <w:trPr>
          <w:trHeight w:val="15"/>
        </w:trPr>
        <w:tc>
          <w:tcPr>
            <w:tcW w:w="41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rPr>
                <w:rFonts w:asciiTheme="minorHAnsi" w:hAnsiTheme="minorHAnsi" w:cstheme="minorHAnsi"/>
                <w:color w:val="333333"/>
                <w:lang w:val="ro-RO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Emilian </w:t>
            </w:r>
            <w:r w:rsidR="007935E8" w:rsidRPr="00056DFC">
              <w:rPr>
                <w:rFonts w:asciiTheme="minorHAnsi" w:hAnsiTheme="minorHAnsi" w:cstheme="minorHAnsi"/>
                <w:color w:val="333333"/>
                <w:lang w:val="ro-RO"/>
              </w:rPr>
              <w:t>MERCE</w:t>
            </w:r>
            <w:r w:rsidR="000E3E1A" w:rsidRPr="00056DFC">
              <w:rPr>
                <w:rFonts w:asciiTheme="minorHAnsi" w:hAnsiTheme="minorHAnsi" w:cstheme="minorHAnsi"/>
                <w:color w:val="333333"/>
                <w:lang w:val="ro-RO"/>
              </w:rPr>
              <w:t>,</w:t>
            </w:r>
            <w:r w:rsidR="000E3E1A" w:rsidRPr="00056DFC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="000E3E1A" w:rsidRPr="00056DFC">
              <w:rPr>
                <w:rFonts w:asciiTheme="minorHAnsi" w:hAnsiTheme="minorHAnsi" w:cs="Calibri"/>
              </w:rPr>
              <w:t>PhD, Professor</w:t>
            </w: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 </w:t>
            </w:r>
          </w:p>
        </w:tc>
        <w:tc>
          <w:tcPr>
            <w:tcW w:w="58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316F" w:rsidRPr="00056DFC" w:rsidRDefault="00A8316F" w:rsidP="00862380">
            <w:pPr>
              <w:spacing w:after="120" w:line="240" w:lineRule="auto"/>
              <w:rPr>
                <w:rFonts w:asciiTheme="minorHAnsi" w:hAnsiTheme="minorHAnsi" w:cstheme="minorHAnsi"/>
                <w:color w:val="333333"/>
              </w:rPr>
            </w:pPr>
            <w:r w:rsidRPr="00056DFC">
              <w:rPr>
                <w:rFonts w:asciiTheme="minorHAnsi" w:hAnsiTheme="minorHAnsi" w:cstheme="minorHAnsi"/>
                <w:color w:val="333333"/>
                <w:lang w:val="ro-RO"/>
              </w:rPr>
              <w:t xml:space="preserve">Associate Member of the Romanian </w:t>
            </w:r>
            <w:r w:rsidRPr="00056DFC">
              <w:rPr>
                <w:rFonts w:asciiTheme="minorHAnsi" w:hAnsiTheme="minorHAnsi"/>
                <w:color w:val="000000"/>
              </w:rPr>
              <w:t>Academy of Agricultural and Forestry Sciences "Gheorghe Ionescu – Sise</w:t>
            </w:r>
            <w:r w:rsidR="00056DFC">
              <w:rPr>
                <w:rFonts w:asciiTheme="minorHAnsi" w:hAnsiTheme="minorHAnsi"/>
                <w:color w:val="000000"/>
                <w:lang w:val="ro-RO"/>
              </w:rPr>
              <w:t>ș</w:t>
            </w:r>
            <w:r w:rsidRPr="00056DFC">
              <w:rPr>
                <w:rFonts w:asciiTheme="minorHAnsi" w:hAnsiTheme="minorHAnsi"/>
                <w:color w:val="000000"/>
              </w:rPr>
              <w:t>ti”</w:t>
            </w:r>
          </w:p>
        </w:tc>
      </w:tr>
    </w:tbl>
    <w:p w:rsidR="00D57ECD" w:rsidRDefault="00D57ECD" w:rsidP="00FF34CC">
      <w:pPr>
        <w:rPr>
          <w:rStyle w:val="hps"/>
          <w:rFonts w:asciiTheme="minorHAnsi" w:hAnsiTheme="minorHAnsi" w:cstheme="minorHAnsi"/>
          <w:b/>
          <w:color w:val="333333"/>
          <w:sz w:val="24"/>
          <w:szCs w:val="24"/>
        </w:rPr>
      </w:pPr>
    </w:p>
    <w:sectPr w:rsidR="00D57ECD" w:rsidSect="000469CE">
      <w:footerReference w:type="default" r:id="rId16"/>
      <w:pgSz w:w="12240" w:h="15840"/>
      <w:pgMar w:top="1440" w:right="1440" w:bottom="1440" w:left="1440" w:header="720" w:footer="3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D8" w:rsidRDefault="002D7BD8" w:rsidP="00834643">
      <w:pPr>
        <w:spacing w:after="0" w:line="240" w:lineRule="auto"/>
      </w:pPr>
      <w:r>
        <w:separator/>
      </w:r>
    </w:p>
  </w:endnote>
  <w:endnote w:type="continuationSeparator" w:id="1">
    <w:p w:rsidR="002D7BD8" w:rsidRDefault="002D7BD8" w:rsidP="0083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99CC"/>
        <w:left w:val="single" w:sz="4" w:space="0" w:color="0099CC"/>
        <w:bottom w:val="single" w:sz="4" w:space="0" w:color="0099CC"/>
        <w:right w:val="single" w:sz="4" w:space="0" w:color="0099CC"/>
        <w:insideH w:val="single" w:sz="4" w:space="0" w:color="0099CC"/>
        <w:insideV w:val="single" w:sz="4" w:space="0" w:color="0099CC"/>
      </w:tblBorders>
      <w:tblLook w:val="04A0"/>
    </w:tblPr>
    <w:tblGrid>
      <w:gridCol w:w="1008"/>
      <w:gridCol w:w="8568"/>
    </w:tblGrid>
    <w:tr w:rsidR="000469CE" w:rsidTr="00CF683E">
      <w:tc>
        <w:tcPr>
          <w:tcW w:w="1254" w:type="dxa"/>
          <w:tcBorders>
            <w:top w:val="single" w:sz="4" w:space="0" w:color="0099CC"/>
            <w:left w:val="nil"/>
            <w:bottom w:val="nil"/>
            <w:right w:val="single" w:sz="4" w:space="0" w:color="0099CC"/>
          </w:tcBorders>
        </w:tcPr>
        <w:p w:rsidR="000469CE" w:rsidRDefault="000469CE" w:rsidP="00CF683E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10842" w:type="dxa"/>
          <w:tcBorders>
            <w:top w:val="single" w:sz="4" w:space="0" w:color="0099CC"/>
            <w:left w:val="single" w:sz="4" w:space="0" w:color="0099CC"/>
            <w:bottom w:val="nil"/>
            <w:right w:val="nil"/>
          </w:tcBorders>
        </w:tcPr>
        <w:p w:rsidR="000469CE" w:rsidRPr="00FA7C9A" w:rsidRDefault="000469CE" w:rsidP="00CF683E">
          <w:pPr>
            <w:spacing w:after="0"/>
            <w:rPr>
              <w:b/>
              <w:bCs/>
              <w:i/>
              <w:color w:val="0070C0"/>
              <w:sz w:val="20"/>
              <w:szCs w:val="20"/>
            </w:rPr>
          </w:pPr>
          <w:r>
            <w:t xml:space="preserve">  ( </w:t>
          </w:r>
          <w:r w:rsidR="00B53422">
            <w:fldChar w:fldCharType="begin"/>
          </w:r>
          <w:r>
            <w:instrText xml:space="preserve"> PAGE   \* MERGEFORMAT </w:instrText>
          </w:r>
          <w:r w:rsidR="00B53422">
            <w:fldChar w:fldCharType="separate"/>
          </w:r>
          <w:r w:rsidR="00867F62" w:rsidRPr="00867F62">
            <w:rPr>
              <w:b/>
              <w:noProof/>
            </w:rPr>
            <w:t>8</w:t>
          </w:r>
          <w:r w:rsidR="00B53422">
            <w:fldChar w:fldCharType="end"/>
          </w:r>
          <w:r>
            <w:t xml:space="preserve"> )                                                                                           </w:t>
          </w:r>
          <w:r w:rsidRPr="00FA7C9A">
            <w:rPr>
              <w:b/>
              <w:bCs/>
              <w:i/>
              <w:color w:val="0070C0"/>
              <w:sz w:val="20"/>
              <w:szCs w:val="20"/>
            </w:rPr>
            <w:t>SELF-EVALUATION REPORT, March, 2012</w:t>
          </w:r>
        </w:p>
      </w:tc>
    </w:tr>
  </w:tbl>
  <w:p w:rsidR="000469CE" w:rsidRDefault="00046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D8" w:rsidRDefault="002D7BD8" w:rsidP="00834643">
      <w:pPr>
        <w:spacing w:after="0" w:line="240" w:lineRule="auto"/>
      </w:pPr>
      <w:r>
        <w:separator/>
      </w:r>
    </w:p>
  </w:footnote>
  <w:footnote w:type="continuationSeparator" w:id="1">
    <w:p w:rsidR="002D7BD8" w:rsidRDefault="002D7BD8" w:rsidP="0083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406F"/>
    <w:multiLevelType w:val="hybridMultilevel"/>
    <w:tmpl w:val="5F2C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97815"/>
    <w:multiLevelType w:val="hybridMultilevel"/>
    <w:tmpl w:val="26DACC5E"/>
    <w:lvl w:ilvl="0" w:tplc="E23E0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86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A2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A8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5E08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C9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EC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C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D08D9"/>
    <w:multiLevelType w:val="hybridMultilevel"/>
    <w:tmpl w:val="4D86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37D55"/>
    <w:multiLevelType w:val="hybridMultilevel"/>
    <w:tmpl w:val="B5CAB908"/>
    <w:lvl w:ilvl="0" w:tplc="1E3C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82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83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4E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288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424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C0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3C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B84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13314">
      <o:colormru v:ext="edit" colors="#ffc"/>
      <o:colormenu v:ext="edit" fillcolor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0D43FE"/>
    <w:rsid w:val="00024227"/>
    <w:rsid w:val="000469CE"/>
    <w:rsid w:val="00056DFC"/>
    <w:rsid w:val="000940F7"/>
    <w:rsid w:val="000D43FE"/>
    <w:rsid w:val="000E3E1A"/>
    <w:rsid w:val="000F19C0"/>
    <w:rsid w:val="001062E9"/>
    <w:rsid w:val="00146654"/>
    <w:rsid w:val="001A68D9"/>
    <w:rsid w:val="001D54DF"/>
    <w:rsid w:val="001E3AB5"/>
    <w:rsid w:val="00204F4F"/>
    <w:rsid w:val="00206A63"/>
    <w:rsid w:val="00222E9B"/>
    <w:rsid w:val="00241970"/>
    <w:rsid w:val="00243F08"/>
    <w:rsid w:val="00252624"/>
    <w:rsid w:val="002704C5"/>
    <w:rsid w:val="00276C93"/>
    <w:rsid w:val="00282EE2"/>
    <w:rsid w:val="00284AF8"/>
    <w:rsid w:val="00294DB2"/>
    <w:rsid w:val="0029774B"/>
    <w:rsid w:val="002C774F"/>
    <w:rsid w:val="002D0AE8"/>
    <w:rsid w:val="002D2693"/>
    <w:rsid w:val="002D7BD8"/>
    <w:rsid w:val="002E2BA1"/>
    <w:rsid w:val="0030735D"/>
    <w:rsid w:val="0032133C"/>
    <w:rsid w:val="0032500E"/>
    <w:rsid w:val="00342DB7"/>
    <w:rsid w:val="00352D71"/>
    <w:rsid w:val="00370667"/>
    <w:rsid w:val="0038585F"/>
    <w:rsid w:val="0038684E"/>
    <w:rsid w:val="00391CD1"/>
    <w:rsid w:val="003A6ED6"/>
    <w:rsid w:val="003C4425"/>
    <w:rsid w:val="003F457E"/>
    <w:rsid w:val="00424771"/>
    <w:rsid w:val="0042787E"/>
    <w:rsid w:val="00431C3A"/>
    <w:rsid w:val="004477A3"/>
    <w:rsid w:val="004571DA"/>
    <w:rsid w:val="00457390"/>
    <w:rsid w:val="004A4DDA"/>
    <w:rsid w:val="004D17E3"/>
    <w:rsid w:val="004D53DA"/>
    <w:rsid w:val="00512442"/>
    <w:rsid w:val="005362AC"/>
    <w:rsid w:val="0055314B"/>
    <w:rsid w:val="0057569F"/>
    <w:rsid w:val="00585B52"/>
    <w:rsid w:val="00597A7E"/>
    <w:rsid w:val="005A64BB"/>
    <w:rsid w:val="005A6AC5"/>
    <w:rsid w:val="005B320A"/>
    <w:rsid w:val="005D7702"/>
    <w:rsid w:val="005F255E"/>
    <w:rsid w:val="00606D0A"/>
    <w:rsid w:val="00624064"/>
    <w:rsid w:val="00647CEE"/>
    <w:rsid w:val="006A2128"/>
    <w:rsid w:val="006B2676"/>
    <w:rsid w:val="006C3879"/>
    <w:rsid w:val="006E21B7"/>
    <w:rsid w:val="006F7BD7"/>
    <w:rsid w:val="007013FC"/>
    <w:rsid w:val="0072185B"/>
    <w:rsid w:val="00740772"/>
    <w:rsid w:val="0075109D"/>
    <w:rsid w:val="00771DEB"/>
    <w:rsid w:val="007935E8"/>
    <w:rsid w:val="00793729"/>
    <w:rsid w:val="007A3B18"/>
    <w:rsid w:val="007B749C"/>
    <w:rsid w:val="007D61DA"/>
    <w:rsid w:val="007E5894"/>
    <w:rsid w:val="008257DE"/>
    <w:rsid w:val="008300FF"/>
    <w:rsid w:val="008307D8"/>
    <w:rsid w:val="00834643"/>
    <w:rsid w:val="0083544D"/>
    <w:rsid w:val="00840C0E"/>
    <w:rsid w:val="0085382A"/>
    <w:rsid w:val="00862380"/>
    <w:rsid w:val="00867F62"/>
    <w:rsid w:val="00885915"/>
    <w:rsid w:val="008B1CA4"/>
    <w:rsid w:val="00910831"/>
    <w:rsid w:val="00917AF0"/>
    <w:rsid w:val="00956200"/>
    <w:rsid w:val="00970AF7"/>
    <w:rsid w:val="00982BED"/>
    <w:rsid w:val="00990942"/>
    <w:rsid w:val="009911A2"/>
    <w:rsid w:val="009A5BBD"/>
    <w:rsid w:val="009C74F2"/>
    <w:rsid w:val="009C76D3"/>
    <w:rsid w:val="009D22AA"/>
    <w:rsid w:val="00A1185B"/>
    <w:rsid w:val="00A31B27"/>
    <w:rsid w:val="00A65A4C"/>
    <w:rsid w:val="00A73C0B"/>
    <w:rsid w:val="00A77181"/>
    <w:rsid w:val="00A77A4C"/>
    <w:rsid w:val="00A8316F"/>
    <w:rsid w:val="00AB776C"/>
    <w:rsid w:val="00AB7F3D"/>
    <w:rsid w:val="00AD3C81"/>
    <w:rsid w:val="00AD4423"/>
    <w:rsid w:val="00AF32C9"/>
    <w:rsid w:val="00B0458A"/>
    <w:rsid w:val="00B460D7"/>
    <w:rsid w:val="00B53422"/>
    <w:rsid w:val="00B53F91"/>
    <w:rsid w:val="00B74AEC"/>
    <w:rsid w:val="00BA4454"/>
    <w:rsid w:val="00BC2F16"/>
    <w:rsid w:val="00BC7CBB"/>
    <w:rsid w:val="00BD5C8D"/>
    <w:rsid w:val="00BF27A5"/>
    <w:rsid w:val="00BF6033"/>
    <w:rsid w:val="00C30DDD"/>
    <w:rsid w:val="00C333E8"/>
    <w:rsid w:val="00C43B0C"/>
    <w:rsid w:val="00C71333"/>
    <w:rsid w:val="00C75415"/>
    <w:rsid w:val="00C95B38"/>
    <w:rsid w:val="00C9751F"/>
    <w:rsid w:val="00CC5AD2"/>
    <w:rsid w:val="00CD5BBB"/>
    <w:rsid w:val="00CE214B"/>
    <w:rsid w:val="00CE3E5E"/>
    <w:rsid w:val="00CE6AA9"/>
    <w:rsid w:val="00CF3E76"/>
    <w:rsid w:val="00D22CE0"/>
    <w:rsid w:val="00D56DD5"/>
    <w:rsid w:val="00D573BF"/>
    <w:rsid w:val="00D57ECD"/>
    <w:rsid w:val="00DA089A"/>
    <w:rsid w:val="00DA4527"/>
    <w:rsid w:val="00DD2AD8"/>
    <w:rsid w:val="00DD587C"/>
    <w:rsid w:val="00E010BE"/>
    <w:rsid w:val="00E4348D"/>
    <w:rsid w:val="00E52FA3"/>
    <w:rsid w:val="00E55C5A"/>
    <w:rsid w:val="00E62DFF"/>
    <w:rsid w:val="00E8009A"/>
    <w:rsid w:val="00E809C7"/>
    <w:rsid w:val="00EB6C5B"/>
    <w:rsid w:val="00ED2E4A"/>
    <w:rsid w:val="00ED5800"/>
    <w:rsid w:val="00EF0405"/>
    <w:rsid w:val="00EF541F"/>
    <w:rsid w:val="00EF7777"/>
    <w:rsid w:val="00F03FE7"/>
    <w:rsid w:val="00F55134"/>
    <w:rsid w:val="00F6469C"/>
    <w:rsid w:val="00F72835"/>
    <w:rsid w:val="00F75A02"/>
    <w:rsid w:val="00F83518"/>
    <w:rsid w:val="00FB0C7C"/>
    <w:rsid w:val="00FD5A54"/>
    <w:rsid w:val="00FE20CC"/>
    <w:rsid w:val="00FF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73B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D573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D573BF"/>
    <w:pPr>
      <w:keepNext/>
      <w:spacing w:after="0" w:line="240" w:lineRule="auto"/>
      <w:outlineLvl w:val="8"/>
    </w:pPr>
    <w:rPr>
      <w:rFonts w:ascii="Times New Roman" w:eastAsia="Times New Roman" w:hAnsi="Times New Roman"/>
      <w:sz w:val="28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D43FE"/>
  </w:style>
  <w:style w:type="character" w:customStyle="1" w:styleId="shorttext">
    <w:name w:val="short_text"/>
    <w:basedOn w:val="DefaultParagraphFont"/>
    <w:rsid w:val="00597A7E"/>
  </w:style>
  <w:style w:type="paragraph" w:styleId="Header">
    <w:name w:val="header"/>
    <w:basedOn w:val="Normal"/>
    <w:link w:val="HeaderChar"/>
    <w:uiPriority w:val="99"/>
    <w:semiHidden/>
    <w:unhideWhenUsed/>
    <w:rsid w:val="0083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573BF"/>
    <w:rPr>
      <w:rFonts w:ascii="Times New Roman" w:eastAsia="Times New Roman" w:hAnsi="Times New Roman"/>
      <w:sz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D573BF"/>
    <w:rPr>
      <w:rFonts w:ascii="Times New Roman" w:eastAsia="Times New Roman" w:hAnsi="Times New Roman"/>
      <w:b/>
      <w:sz w:val="24"/>
      <w:lang w:eastAsia="ro-RO"/>
    </w:rPr>
  </w:style>
  <w:style w:type="character" w:customStyle="1" w:styleId="Heading9Char">
    <w:name w:val="Heading 9 Char"/>
    <w:basedOn w:val="DefaultParagraphFont"/>
    <w:link w:val="Heading9"/>
    <w:rsid w:val="00D573BF"/>
    <w:rPr>
      <w:rFonts w:ascii="Times New Roman" w:eastAsia="Times New Roman" w:hAnsi="Times New Roman"/>
      <w:sz w:val="28"/>
      <w:lang w:val="en-GB" w:eastAsia="ro-RO"/>
    </w:rPr>
  </w:style>
  <w:style w:type="paragraph" w:styleId="PlainText">
    <w:name w:val="Plain Text"/>
    <w:basedOn w:val="Normal"/>
    <w:link w:val="PlainTextChar"/>
    <w:uiPriority w:val="99"/>
    <w:unhideWhenUsed/>
    <w:rsid w:val="00D573B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3BF"/>
    <w:rPr>
      <w:rFonts w:ascii="Consolas" w:hAnsi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1E3AB5"/>
    <w:rPr>
      <w:b/>
      <w:bCs/>
      <w:i w:val="0"/>
      <w:iCs w:val="0"/>
    </w:rPr>
  </w:style>
  <w:style w:type="character" w:customStyle="1" w:styleId="st">
    <w:name w:val="st"/>
    <w:basedOn w:val="DefaultParagraphFont"/>
    <w:rsid w:val="001E3AB5"/>
  </w:style>
  <w:style w:type="character" w:styleId="Hyperlink">
    <w:name w:val="Hyperlink"/>
    <w:basedOn w:val="DefaultParagraphFont"/>
    <w:uiPriority w:val="99"/>
    <w:semiHidden/>
    <w:unhideWhenUsed/>
    <w:rsid w:val="00ED2E4A"/>
    <w:rPr>
      <w:strike w:val="0"/>
      <w:dstrike w:val="0"/>
      <w:color w:val="AA4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27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1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55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42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09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0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91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7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9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7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0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40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76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7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7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4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150072150072173E-2"/>
          <c:y val="0.12963617077556516"/>
          <c:w val="0.89177489177489411"/>
          <c:h val="0.74591937884249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Numar total de contracte de cercetare </c:v>
                </c:pt>
              </c:strCache>
            </c:strRef>
          </c:tx>
          <c:spPr>
            <a:solidFill>
              <a:srgbClr val="0000FF"/>
            </a:solidFill>
            <a:ln w="14597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FFFF00"/>
              </a:solidFill>
              <a:ln w="14597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00B0F0"/>
              </a:solidFill>
              <a:ln w="14597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00FF00"/>
              </a:solidFill>
              <a:ln w="14597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0000"/>
              </a:solidFill>
              <a:ln w="14597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1.9137668275336556E-2"/>
                  <c:y val="-2.0420934225327099E-2"/>
                </c:manualLayout>
              </c:layout>
              <c:spPr>
                <a:solidFill>
                  <a:schemeClr val="bg1"/>
                </a:solidFill>
                <a:ln w="29196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Cambria"/>
                      <a:cs typeface="Cambria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1.6246046167306009E-2"/>
                  <c:y val="-2.558240196222503E-2"/>
                </c:manualLayout>
              </c:layout>
              <c:showVal val="1"/>
            </c:dLbl>
            <c:dLbl>
              <c:idx val="2"/>
              <c:layout>
                <c:manualLayout>
                  <c:x val="1.5671815061578841E-2"/>
                  <c:y val="-2.3983017562234667E-2"/>
                </c:manualLayout>
              </c:layout>
              <c:showVal val="1"/>
            </c:dLbl>
            <c:dLbl>
              <c:idx val="3"/>
              <c:layout>
                <c:manualLayout>
                  <c:x val="1.1879500639343166E-2"/>
                  <c:y val="-1.9403690928182681E-2"/>
                </c:manualLayout>
              </c:layout>
              <c:showVal val="1"/>
            </c:dLbl>
            <c:dLbl>
              <c:idx val="4"/>
              <c:layout>
                <c:manualLayout>
                  <c:x val="1.4957264957264953E-2"/>
                  <c:y val="-2.0359687818120139E-2"/>
                </c:manualLayout>
              </c:layout>
              <c:spPr>
                <a:noFill/>
                <a:ln w="29196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8008658008657843"/>
                  <c:y val="0.21777777777777776"/>
                </c:manualLayout>
              </c:layout>
              <c:spPr>
                <a:noFill/>
                <a:ln w="29196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6666666666666663"/>
                  <c:y val="6.4444444444444665E-2"/>
                </c:manualLayout>
              </c:layout>
              <c:spPr>
                <a:noFill/>
                <a:ln w="29196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5468975468975763"/>
                  <c:y val="4.4444444444444566E-3"/>
                </c:manualLayout>
              </c:layout>
              <c:spPr>
                <a:noFill/>
                <a:ln w="29196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spPr>
              <a:noFill/>
              <a:ln w="29196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chemeClr val="tx1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286</c:v>
                </c:pt>
                <c:pt idx="1">
                  <c:v>266</c:v>
                </c:pt>
                <c:pt idx="2">
                  <c:v>152</c:v>
                </c:pt>
                <c:pt idx="3">
                  <c:v>146</c:v>
                </c:pt>
                <c:pt idx="4">
                  <c:v>94</c:v>
                </c:pt>
              </c:numCache>
            </c:numRef>
          </c:val>
        </c:ser>
        <c:gapDepth val="0"/>
        <c:shape val="box"/>
        <c:axId val="103236736"/>
        <c:axId val="103238272"/>
        <c:axId val="0"/>
      </c:bar3DChart>
      <c:catAx>
        <c:axId val="103236736"/>
        <c:scaling>
          <c:orientation val="minMax"/>
        </c:scaling>
        <c:axPos val="b"/>
        <c:numFmt formatCode="General" sourceLinked="1"/>
        <c:tickLblPos val="none"/>
        <c:spPr>
          <a:ln w="3649">
            <a:solidFill>
              <a:schemeClr val="tx1"/>
            </a:solidFill>
            <a:prstDash val="solid"/>
          </a:ln>
        </c:spPr>
        <c:crossAx val="103238272"/>
        <c:crosses val="autoZero"/>
        <c:auto val="1"/>
        <c:lblAlgn val="ctr"/>
        <c:lblOffset val="100"/>
        <c:tickMarkSkip val="1"/>
      </c:catAx>
      <c:valAx>
        <c:axId val="103238272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tickLblPos val="nextTo"/>
        <c:spPr>
          <a:ln w="145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03236736"/>
        <c:crosses val="autoZero"/>
        <c:crossBetween val="between"/>
      </c:valAx>
      <c:spPr>
        <a:noFill/>
        <a:ln w="25394">
          <a:noFill/>
        </a:ln>
      </c:spPr>
    </c:plotArea>
    <c:legend>
      <c:legendPos val="b"/>
      <c:layout>
        <c:manualLayout>
          <c:xMode val="edge"/>
          <c:yMode val="edge"/>
          <c:x val="0.10533909451794704"/>
          <c:y val="0.93111130130472819"/>
          <c:w val="0.80600984400759534"/>
          <c:h val="5.3177184373692343E-2"/>
        </c:manualLayout>
      </c:layout>
      <c:spPr>
        <a:noFill/>
        <a:ln w="29196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+mn-lt"/>
              <a:ea typeface="Cambria"/>
              <a:cs typeface="Cambria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80" b="1" i="0" u="none" strike="noStrike" baseline="0">
          <a:solidFill>
            <a:srgbClr val="FFFFFF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0366781075442544E-2"/>
          <c:y val="8.7626476178737547E-2"/>
          <c:w val="0.93181818181818177"/>
          <c:h val="0.816123895574986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FF00"/>
            </a:solidFill>
            <a:ln w="1769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8.7988761020257079E-3"/>
                  <c:y val="-9.3967487934975939E-3"/>
                </c:manualLayout>
              </c:layout>
              <c:showVal val="1"/>
            </c:dLbl>
            <c:dLbl>
              <c:idx val="1"/>
              <c:layout>
                <c:manualLayout>
                  <c:x val="1.3204455212329243E-2"/>
                  <c:y val="-1.7036830073660147E-2"/>
                </c:manualLayout>
              </c:layout>
              <c:showVal val="1"/>
            </c:dLbl>
            <c:dLbl>
              <c:idx val="2"/>
              <c:layout>
                <c:manualLayout>
                  <c:x val="1.5990813648293963E-2"/>
                  <c:y val="-1.3758191516383043E-2"/>
                </c:manualLayout>
              </c:layout>
              <c:showVal val="1"/>
            </c:dLbl>
            <c:dLbl>
              <c:idx val="3"/>
              <c:layout>
                <c:manualLayout>
                  <c:x val="1.5403934812765285E-2"/>
                  <c:y val="-6.4851959254849531E-2"/>
                </c:manualLayout>
              </c:layout>
              <c:showVal val="1"/>
            </c:dLbl>
            <c:dLbl>
              <c:idx val="4"/>
              <c:layout>
                <c:manualLayout>
                  <c:x val="2.2764881365079093E-2"/>
                  <c:y val="-5.4457001487935197E-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9577922077922052"/>
                  <c:y val="0.65060240963855787"/>
                </c:manualLayout>
              </c:layout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607142857142857"/>
                  <c:y val="0.37349397590361638"/>
                </c:manualLayout>
              </c:layout>
              <c:showVal val="1"/>
            </c:dLbl>
            <c:dLbl>
              <c:idx val="8"/>
              <c:layout>
                <c:manualLayout>
                  <c:xMode val="edge"/>
                  <c:yMode val="edge"/>
                  <c:x val="0.81331168831168832"/>
                  <c:y val="0.65662650602410089"/>
                </c:manualLayout>
              </c:layout>
              <c:showVal val="1"/>
            </c:dLbl>
            <c:dLbl>
              <c:idx val="9"/>
              <c:layout>
                <c:manualLayout>
                  <c:xMode val="edge"/>
                  <c:yMode val="edge"/>
                  <c:x val="0.88636363636363635"/>
                  <c:y val="0.6716867469879515"/>
                </c:manualLayout>
              </c:layout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57142857142857451"/>
                  <c:y val="0.41566265060240981"/>
                </c:manualLayout>
              </c:layout>
              <c:showVal val="1"/>
            </c:dLbl>
            <c:spPr>
              <a:noFill/>
              <a:ln w="35395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233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5599804832088301E-2"/>
                  <c:y val="-8.7523495046990338E-3"/>
                </c:manualLayout>
              </c:layout>
              <c:showVal val="1"/>
            </c:dLbl>
            <c:dLbl>
              <c:idx val="1"/>
              <c:layout>
                <c:manualLayout>
                  <c:x val="1.0471263207483679E-2"/>
                  <c:y val="-1.1925323850647701E-2"/>
                </c:manualLayout>
              </c:layout>
              <c:showVal val="1"/>
            </c:dLbl>
            <c:dLbl>
              <c:idx val="2"/>
              <c:layout>
                <c:manualLayout>
                  <c:x val="1.1112120600309581E-2"/>
                  <c:y val="-1.3617475234950487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231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66FF3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6454673934988902E-2"/>
                  <c:y val="-1.1925323850647701E-2"/>
                </c:manualLayout>
              </c:layout>
              <c:showVal val="1"/>
            </c:dLbl>
            <c:dLbl>
              <c:idx val="1"/>
              <c:layout>
                <c:manualLayout>
                  <c:x val="7.9076653879803557E-3"/>
                  <c:y val="-9.519177038354084E-3"/>
                </c:manualLayout>
              </c:layout>
              <c:showVal val="1"/>
            </c:dLbl>
            <c:dLbl>
              <c:idx val="2"/>
              <c:layout>
                <c:manualLayout>
                  <c:x val="1.0899454875832829E-2"/>
                  <c:y val="-6.346202692405393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Sheet1!$B$4:$D$4</c:f>
              <c:numCache>
                <c:formatCode>#,##0</c:formatCode>
                <c:ptCount val="3"/>
                <c:pt idx="0">
                  <c:v>128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4957264957264951E-2"/>
                  <c:y val="-3.2258064516129067E-3"/>
                </c:manualLayout>
              </c:layout>
              <c:showVal val="1"/>
            </c:dLbl>
            <c:dLbl>
              <c:idx val="1"/>
              <c:layout>
                <c:manualLayout>
                  <c:x val="8.5470085470085496E-3"/>
                  <c:y val="-3.2258064516129067E-3"/>
                </c:manualLayout>
              </c:layout>
              <c:showVal val="1"/>
            </c:dLbl>
            <c:dLbl>
              <c:idx val="2"/>
              <c:layout>
                <c:manualLayout>
                  <c:x val="1.282051282051282E-2"/>
                  <c:y val="-3.2258064516129067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Sheet1!$B$5:$D$5</c:f>
              <c:numCache>
                <c:formatCode>#,##0</c:formatCode>
                <c:ptCount val="3"/>
                <c:pt idx="0">
                  <c:v>112</c:v>
                </c:pt>
                <c:pt idx="1">
                  <c:v>20</c:v>
                </c:pt>
                <c:pt idx="2">
                  <c:v>14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00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282051282051282E-2"/>
                  <c:y val="-3.2258064516129067E-3"/>
                </c:manualLayout>
              </c:layout>
              <c:showVal val="1"/>
            </c:dLbl>
            <c:dLbl>
              <c:idx val="1"/>
              <c:layout>
                <c:manualLayout>
                  <c:x val="1.0683760683760694E-2"/>
                  <c:y val="-3.2258064516129067E-3"/>
                </c:manualLayout>
              </c:layout>
              <c:showVal val="1"/>
            </c:dLbl>
            <c:dLbl>
              <c:idx val="2"/>
              <c:layout>
                <c:manualLayout>
                  <c:x val="1.0683760683760694E-2"/>
                  <c:y val="-3.2258064516129067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Sheet1!$B$6:$D$6</c:f>
              <c:numCache>
                <c:formatCode>#,##0</c:formatCode>
                <c:ptCount val="3"/>
                <c:pt idx="0">
                  <c:v>70</c:v>
                </c:pt>
                <c:pt idx="1">
                  <c:v>20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105962112"/>
        <c:axId val="107950464"/>
        <c:axId val="0"/>
      </c:bar3DChart>
      <c:catAx>
        <c:axId val="105962112"/>
        <c:scaling>
          <c:orientation val="minMax"/>
        </c:scaling>
        <c:axPos val="b"/>
        <c:numFmt formatCode="General" sourceLinked="1"/>
        <c:tickLblPos val="low"/>
        <c:spPr>
          <a:ln w="4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07950464"/>
        <c:crosses val="autoZero"/>
        <c:auto val="1"/>
        <c:lblAlgn val="ctr"/>
        <c:lblOffset val="100"/>
        <c:tickLblSkip val="1"/>
        <c:tickMarkSkip val="1"/>
      </c:catAx>
      <c:valAx>
        <c:axId val="10795046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#,##0" sourceLinked="1"/>
        <c:tickLblPos val="nextTo"/>
        <c:spPr>
          <a:ln w="4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05962112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>
        <c:manualLayout>
          <c:xMode val="edge"/>
          <c:yMode val="edge"/>
          <c:x val="0.22836423672847347"/>
          <c:y val="0.94086912842791193"/>
          <c:w val="0.48083383807793256"/>
          <c:h val="5.9130770110054444E-2"/>
        </c:manualLayout>
      </c:layout>
      <c:txPr>
        <a:bodyPr/>
        <a:lstStyle/>
        <a:p>
          <a:pPr>
            <a:defRPr sz="1100">
              <a:solidFill>
                <a:schemeClr val="tx1"/>
              </a:solidFill>
              <a:latin typeface="+mn-lt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95" b="1" i="0" u="none" strike="noStrike" baseline="0">
          <a:solidFill>
            <a:srgbClr val="FFFFFF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718614718614775"/>
          <c:y val="9.2310118809211292E-2"/>
          <c:w val="0.81529581529581863"/>
          <c:h val="0.782241339884568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Val. totala granturi</c:v>
                </c:pt>
              </c:strCache>
            </c:strRef>
          </c:tx>
          <c:spPr>
            <a:solidFill>
              <a:srgbClr val="0000FF"/>
            </a:solidFill>
            <a:ln w="15477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Pt>
            <c:idx val="0"/>
            <c:spPr>
              <a:solidFill>
                <a:srgbClr val="FFFF00"/>
              </a:solidFill>
              <a:ln w="15477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1"/>
            <c:spPr>
              <a:solidFill>
                <a:srgbClr val="00B0F0"/>
              </a:solidFill>
              <a:ln w="15477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2"/>
            <c:spPr>
              <a:solidFill>
                <a:srgbClr val="00FF00"/>
              </a:solidFill>
              <a:ln w="15477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Pt>
            <c:idx val="3"/>
            <c:spPr>
              <a:solidFill>
                <a:srgbClr val="FF0000"/>
              </a:solidFill>
              <a:ln w="15477">
                <a:solidFill>
                  <a:schemeClr val="tx1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4.1587590012786878E-3"/>
                  <c:y val="0.34268373781571748"/>
                </c:manualLayout>
              </c:layout>
              <c:showVal val="1"/>
            </c:dLbl>
            <c:dLbl>
              <c:idx val="1"/>
              <c:layout>
                <c:manualLayout>
                  <c:x val="3.210343899320278E-3"/>
                  <c:y val="0.33938715678943043"/>
                </c:manualLayout>
              </c:layout>
              <c:showVal val="1"/>
            </c:dLbl>
            <c:dLbl>
              <c:idx val="2"/>
              <c:layout>
                <c:manualLayout>
                  <c:x val="5.4906117504542737E-3"/>
                  <c:y val="0.29367568784431047"/>
                </c:manualLayout>
              </c:layout>
              <c:showVal val="1"/>
            </c:dLbl>
            <c:dLbl>
              <c:idx val="3"/>
              <c:layout>
                <c:manualLayout>
                  <c:x val="4.5225116091257801E-3"/>
                  <c:y val="0.28463932971244188"/>
                </c:manualLayout>
              </c:layout>
              <c:showVal val="1"/>
            </c:dLbl>
            <c:dLbl>
              <c:idx val="4"/>
              <c:layout>
                <c:manualLayout>
                  <c:x val="2.136752136752137E-3"/>
                  <c:y val="0.36477160696680916"/>
                </c:manualLayout>
              </c:layout>
              <c:spPr>
                <a:noFill/>
                <a:ln w="30957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chemeClr val="bg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8874458874458879"/>
                  <c:y val="0.43750000000000105"/>
                </c:manualLayout>
              </c:layout>
              <c:spPr>
                <a:noFill/>
                <a:ln w="30957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7388167388167775"/>
                  <c:y val="0.19866071428571372"/>
                </c:manualLayout>
              </c:layout>
              <c:spPr>
                <a:noFill/>
                <a:ln w="30957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6046176046176051"/>
                  <c:y val="3.5714285714285712E-2"/>
                </c:manualLayout>
              </c:layout>
              <c:spPr>
                <a:noFill/>
                <a:ln w="30957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spPr>
              <a:noFill/>
              <a:ln w="30957">
                <a:noFill/>
              </a:ln>
            </c:spPr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chemeClr val="tx1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</c:numCache>
            </c:numRef>
          </c:cat>
          <c:val>
            <c:numRef>
              <c:f>Sheet1!$B$2:$F$2</c:f>
              <c:numCache>
                <c:formatCode>#,##0</c:formatCode>
                <c:ptCount val="5"/>
                <c:pt idx="0">
                  <c:v>22084000</c:v>
                </c:pt>
                <c:pt idx="1">
                  <c:v>25960039</c:v>
                </c:pt>
                <c:pt idx="2">
                  <c:v>16626682</c:v>
                </c:pt>
                <c:pt idx="3">
                  <c:v>20997367</c:v>
                </c:pt>
                <c:pt idx="4">
                  <c:v>24500722</c:v>
                </c:pt>
              </c:numCache>
            </c:numRef>
          </c:val>
        </c:ser>
        <c:gapDepth val="0"/>
        <c:shape val="box"/>
        <c:axId val="123236352"/>
        <c:axId val="123237888"/>
        <c:axId val="0"/>
      </c:bar3DChart>
      <c:catAx>
        <c:axId val="123236352"/>
        <c:scaling>
          <c:orientation val="minMax"/>
        </c:scaling>
        <c:axPos val="b"/>
        <c:numFmt formatCode="General" sourceLinked="1"/>
        <c:tickLblPos val="none"/>
        <c:spPr>
          <a:ln w="3869">
            <a:solidFill>
              <a:schemeClr val="tx1"/>
            </a:solidFill>
            <a:prstDash val="solid"/>
          </a:ln>
        </c:spPr>
        <c:crossAx val="123237888"/>
        <c:crosses val="autoZero"/>
        <c:auto val="1"/>
        <c:lblAlgn val="ctr"/>
        <c:lblOffset val="100"/>
        <c:tickMarkSkip val="1"/>
      </c:catAx>
      <c:valAx>
        <c:axId val="123237888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#,##0" sourceLinked="1"/>
        <c:tickLblPos val="nextTo"/>
        <c:spPr>
          <a:ln w="154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23236352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ayout>
        <c:manualLayout>
          <c:xMode val="edge"/>
          <c:yMode val="edge"/>
          <c:x val="9.523806234747012E-2"/>
          <c:y val="0.93080350549401669"/>
          <c:w val="0.81136402357600024"/>
          <c:h val="5.2458205436184735E-2"/>
        </c:manualLayout>
      </c:layout>
      <c:spPr>
        <a:noFill/>
        <a:ln w="30957">
          <a:noFill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+mn-lt"/>
              <a:ea typeface="Cambria"/>
              <a:cs typeface="Cambria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64" b="1" i="0" u="none" strike="noStrike" baseline="0">
          <a:solidFill>
            <a:srgbClr val="FFFFFF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180631216909387"/>
          <c:y val="8.2623949870661795E-2"/>
          <c:w val="0.93181818181818177"/>
          <c:h val="0.812281616214654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FF00"/>
            </a:solidFill>
            <a:ln w="1769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6.6276330843259984E-3"/>
                  <c:y val="0.29677419354838702"/>
                </c:manualLayout>
              </c:layout>
              <c:showVal val="1"/>
            </c:dLbl>
            <c:dLbl>
              <c:idx val="1"/>
              <c:layout>
                <c:manualLayout>
                  <c:x val="9.1910626556295887E-3"/>
                  <c:y val="-3.225806451612905E-3"/>
                </c:manualLayout>
              </c:layout>
              <c:spPr>
                <a:solidFill>
                  <a:sysClr val="window" lastClr="FFFFFF"/>
                </a:solidFill>
                <a:ln w="35395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1.4957264957264954E-2"/>
                  <c:y val="-6.4516129032258099E-3"/>
                </c:manualLayout>
              </c:layout>
              <c:spPr>
                <a:noFill/>
                <a:ln w="35395">
                  <a:noFill/>
                </a:ln>
              </c:spPr>
              <c:txPr>
                <a:bodyPr rot="0" vert="horz"/>
                <a:lstStyle/>
                <a:p>
                  <a:pPr algn="ctr"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spPr>
              <a:noFill/>
              <a:ln w="35395">
                <a:noFill/>
              </a:ln>
            </c:spPr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chemeClr val="tx1"/>
                    </a:solidFill>
                    <a:latin typeface="+mn-lt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19959000</c:v>
                </c:pt>
                <c:pt idx="1">
                  <c:v>2125000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3.8483410727505234E-3"/>
                  <c:y val="0.33225806451612905"/>
                </c:manualLayout>
              </c:layout>
              <c:showVal val="1"/>
            </c:dLbl>
            <c:dLbl>
              <c:idx val="1"/>
              <c:layout>
                <c:manualLayout>
                  <c:x val="9.8319200484554836E-3"/>
                  <c:y val="-5.4978409956819929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1.4960461673060107E-2"/>
                  <c:y val="-7.4056388112776267E-3"/>
                </c:manualLayout>
              </c:layout>
              <c:spPr/>
              <c:txPr>
                <a:bodyPr rot="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Sheet1!$B$3:$D$3</c:f>
              <c:numCache>
                <c:formatCode>#,##0</c:formatCode>
                <c:ptCount val="3"/>
                <c:pt idx="0">
                  <c:v>25960039</c:v>
                </c:pt>
                <c:pt idx="1">
                  <c:v>285646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66FF3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7.9093478699777953E-3"/>
                  <c:y val="-7.4053848107695644E-3"/>
                </c:manualLayout>
              </c:layout>
              <c:spPr>
                <a:solidFill>
                  <a:schemeClr val="bg1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6.8401305606030013E-3"/>
                  <c:y val="-7.0406400812801683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1.1968503937007883E-2"/>
                  <c:y val="-6.4518669037338123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200">
                    <a:solidFill>
                      <a:schemeClr val="tx1"/>
                    </a:solidFill>
                    <a:latin typeface="Cambria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Sheet1!$B$4:$D$4</c:f>
              <c:numCache>
                <c:formatCode>#,##0</c:formatCode>
                <c:ptCount val="3"/>
                <c:pt idx="0">
                  <c:v>9483525</c:v>
                </c:pt>
                <c:pt idx="1">
                  <c:v>565282</c:v>
                </c:pt>
                <c:pt idx="2">
                  <c:v>208451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4.2735042735042739E-3"/>
                  <c:y val="-9.677419354838717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6.4102564102564118E-3"/>
                  <c:y val="-6.4516129032258099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1.282051282051282E-2"/>
                  <c:y val="-6.4516129032258099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Sheet1!$B$5:$D$5</c:f>
              <c:numCache>
                <c:formatCode>#,##0</c:formatCode>
                <c:ptCount val="3"/>
                <c:pt idx="0">
                  <c:v>10067028</c:v>
                </c:pt>
                <c:pt idx="1">
                  <c:v>11490765</c:v>
                </c:pt>
                <c:pt idx="2">
                  <c:v>184030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00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0683760683760689E-2"/>
                  <c:y val="-6.4516129032258099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1.0683760683760689E-2"/>
                  <c:y val="-6.4516129032258099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1.282051282051282E-2"/>
                  <c:y val="-9.677419354838717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PN1 &amp; PN2</c:v>
                </c:pt>
                <c:pt idx="1">
                  <c:v>Structural funds &amp; EU</c:v>
                </c:pt>
                <c:pt idx="2">
                  <c:v>Private companies</c:v>
                </c:pt>
              </c:strCache>
            </c:strRef>
          </c:cat>
          <c:val>
            <c:numRef>
              <c:f>Sheet1!$B$6:$D$6</c:f>
              <c:numCache>
                <c:formatCode>#,##0</c:formatCode>
                <c:ptCount val="3"/>
                <c:pt idx="0">
                  <c:v>12168837</c:v>
                </c:pt>
                <c:pt idx="1">
                  <c:v>12263125</c:v>
                </c:pt>
                <c:pt idx="2">
                  <c:v>68759</c:v>
                </c:pt>
              </c:numCache>
            </c:numRef>
          </c:val>
        </c:ser>
        <c:dLbls>
          <c:showVal val="1"/>
        </c:dLbls>
        <c:gapDepth val="0"/>
        <c:shape val="box"/>
        <c:axId val="179571712"/>
        <c:axId val="179577600"/>
        <c:axId val="0"/>
      </c:bar3DChart>
      <c:catAx>
        <c:axId val="179571712"/>
        <c:scaling>
          <c:orientation val="minMax"/>
        </c:scaling>
        <c:axPos val="b"/>
        <c:numFmt formatCode="General" sourceLinked="1"/>
        <c:tickLblPos val="low"/>
        <c:spPr>
          <a:ln w="4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79577600"/>
        <c:crosses val="autoZero"/>
        <c:auto val="1"/>
        <c:lblAlgn val="ctr"/>
        <c:lblOffset val="100"/>
        <c:tickLblSkip val="1"/>
        <c:tickMarkSkip val="1"/>
      </c:catAx>
      <c:valAx>
        <c:axId val="17957760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#,##0" sourceLinked="1"/>
        <c:tickLblPos val="nextTo"/>
        <c:spPr>
          <a:ln w="4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79571712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>
        <c:manualLayout>
          <c:xMode val="edge"/>
          <c:yMode val="edge"/>
          <c:x val="0.14900127868631804"/>
          <c:y val="0.93420422004155101"/>
          <c:w val="0.84835520559930033"/>
          <c:h val="6.2244094488188982E-2"/>
        </c:manualLayout>
      </c:layout>
      <c:txPr>
        <a:bodyPr/>
        <a:lstStyle/>
        <a:p>
          <a:pPr>
            <a:defRPr sz="1100">
              <a:solidFill>
                <a:schemeClr val="tx1"/>
              </a:solidFill>
              <a:latin typeface="+mn-lt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95" b="1" i="0" u="none" strike="noStrike" baseline="0">
          <a:solidFill>
            <a:srgbClr val="FFFFFF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180631216909384"/>
          <c:y val="8.2623949870661795E-2"/>
          <c:w val="0.93181818181818177"/>
          <c:h val="0.81228161621465511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FF00"/>
            </a:solidFill>
            <a:ln w="17697">
              <a:noFill/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4.4908809475738614E-3"/>
                  <c:y val="-7.6279992865863132E-4"/>
                </c:manualLayout>
              </c:layout>
              <c:showVal val="1"/>
            </c:dLbl>
            <c:dLbl>
              <c:idx val="1"/>
              <c:layout>
                <c:manualLayout>
                  <c:x val="6.4405410862103829E-4"/>
                  <c:y val="-3.2257148274641768E-3"/>
                </c:manualLayout>
              </c:layout>
              <c:spPr>
                <a:solidFill>
                  <a:sysClr val="window" lastClr="FFFFFF"/>
                </a:solidFill>
                <a:ln w="35395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4.2735042735042739E-3"/>
                  <c:y val="-3.2019173120783162E-3"/>
                </c:manualLayout>
              </c:layout>
              <c:spPr>
                <a:solidFill>
                  <a:sysClr val="window" lastClr="FFFFFF"/>
                </a:solidFill>
                <a:ln w="35395">
                  <a:noFill/>
                </a:ln>
              </c:spPr>
              <c:txPr>
                <a:bodyPr rot="-5400000" vert="horz"/>
                <a:lstStyle/>
                <a:p>
                  <a:pPr algn="ctr">
                    <a:defRPr sz="1100" b="1" i="0" u="none" strike="noStrike" baseline="0">
                      <a:solidFill>
                        <a:schemeClr val="tx1"/>
                      </a:solidFill>
                      <a:latin typeface="+mn-lt"/>
                      <a:ea typeface="Arial"/>
                      <a:cs typeface="Arial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2.136752136752137E-3"/>
                  <c:y val="0"/>
                </c:manualLayout>
              </c:layout>
              <c:showVal val="1"/>
            </c:dLbl>
            <c:spPr>
              <a:noFill/>
              <a:ln w="35395">
                <a:noFill/>
              </a:ln>
            </c:spPr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chemeClr val="tx1"/>
                    </a:solidFill>
                    <a:latin typeface="+mn-lt"/>
                    <a:ea typeface="Arial"/>
                    <a:cs typeface="Arial"/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ISI Journals</c:v>
                </c:pt>
                <c:pt idx="1">
                  <c:v>ANCS B+ Journals</c:v>
                </c:pt>
                <c:pt idx="2">
                  <c:v>ANCS B Journals</c:v>
                </c:pt>
                <c:pt idx="3">
                  <c:v>Other journals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28</c:v>
                </c:pt>
                <c:pt idx="1">
                  <c:v>283</c:v>
                </c:pt>
                <c:pt idx="2">
                  <c:v>161</c:v>
                </c:pt>
                <c:pt idx="3">
                  <c:v>104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3.8481728245507783E-3"/>
                  <c:y val="-2.4680326440498159E-3"/>
                </c:manualLayout>
              </c:layout>
              <c:spPr>
                <a:solidFill>
                  <a:schemeClr val="bg1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1.2849115014469351E-3"/>
                  <c:y val="-5.4977378286584005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8.5502052628036954E-3"/>
                  <c:y val="-4.1558650256104763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6.4102564102564118E-3"/>
                  <c:y val="0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ISI Journals</c:v>
                </c:pt>
                <c:pt idx="1">
                  <c:v>ANCS B+ Journals</c:v>
                </c:pt>
                <c:pt idx="2">
                  <c:v>ANCS B Journals</c:v>
                </c:pt>
                <c:pt idx="3">
                  <c:v>Other journals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72</c:v>
                </c:pt>
                <c:pt idx="1">
                  <c:v>320</c:v>
                </c:pt>
                <c:pt idx="2">
                  <c:v>152</c:v>
                </c:pt>
                <c:pt idx="3">
                  <c:v>97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66FF3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5.7725957332256583E-3"/>
                  <c:y val="-7.4053773684605133E-3"/>
                </c:manualLayout>
              </c:layout>
              <c:spPr>
                <a:solidFill>
                  <a:schemeClr val="bg1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4.7033784238508696E-3"/>
                  <c:y val="-3.7909697896939369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layout>
                <c:manualLayout>
                  <c:x val="9.8317518002558162E-3"/>
                  <c:y val="-3.202173199340528E-3"/>
                </c:manualLayout>
              </c:layout>
              <c:spPr>
                <a:noFill/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4.2735042735042739E-3"/>
                  <c:y val="-3.249768230112251E-3"/>
                </c:manualLayout>
              </c:layout>
              <c:spPr/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txPr>
              <a:bodyPr rot="-5400000" vert="horz"/>
              <a:lstStyle/>
              <a:p>
                <a:pPr>
                  <a:defRPr sz="1200">
                    <a:solidFill>
                      <a:schemeClr val="tx1"/>
                    </a:solidFill>
                    <a:latin typeface="Cambria" pitchFamily="18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ISI Journals</c:v>
                </c:pt>
                <c:pt idx="1">
                  <c:v>ANCS B+ Journals</c:v>
                </c:pt>
                <c:pt idx="2">
                  <c:v>ANCS B Journals</c:v>
                </c:pt>
                <c:pt idx="3">
                  <c:v>Other journals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90</c:v>
                </c:pt>
                <c:pt idx="1">
                  <c:v>580</c:v>
                </c:pt>
                <c:pt idx="2">
                  <c:v>131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2.136752136752137E-3"/>
                  <c:y val="-9.6774003696547435E-3"/>
                </c:manualLayout>
              </c:layout>
              <c:showVal val="1"/>
            </c:dLbl>
            <c:dLbl>
              <c:idx val="1"/>
              <c:layout>
                <c:manualLayout>
                  <c:x val="6.4102564102564135E-3"/>
                  <c:y val="-6.4516129032258134E-3"/>
                </c:manualLayout>
              </c:layout>
              <c:showVal val="1"/>
            </c:dLbl>
            <c:dLbl>
              <c:idx val="2"/>
              <c:layout>
                <c:manualLayout>
                  <c:x val="8.5470085470085496E-3"/>
                  <c:y val="-9.7014537723028142E-3"/>
                </c:manualLayout>
              </c:layout>
              <c:showVal val="1"/>
            </c:dLbl>
            <c:dLbl>
              <c:idx val="3"/>
              <c:layout>
                <c:manualLayout>
                  <c:x val="8.5470085470085496E-3"/>
                  <c:y val="-3.249768230112251E-3"/>
                </c:manualLayout>
              </c:layout>
              <c:showVal val="1"/>
            </c:dLbl>
            <c:spPr>
              <a:noFill/>
            </c:spPr>
            <c:txPr>
              <a:bodyPr rot="-5400000" vert="horz"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ISI Journals</c:v>
                </c:pt>
                <c:pt idx="1">
                  <c:v>ANCS B+ Journals</c:v>
                </c:pt>
                <c:pt idx="2">
                  <c:v>ANCS B Journals</c:v>
                </c:pt>
                <c:pt idx="3">
                  <c:v>Other journals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90</c:v>
                </c:pt>
                <c:pt idx="1">
                  <c:v>436</c:v>
                </c:pt>
                <c:pt idx="2">
                  <c:v>27</c:v>
                </c:pt>
                <c:pt idx="3">
                  <c:v>37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00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8.5470085470085496E-3"/>
                  <c:y val="-3.249768230112251E-3"/>
                </c:manualLayout>
              </c:layout>
              <c:showVal val="1"/>
            </c:dLbl>
            <c:dLbl>
              <c:idx val="1"/>
              <c:layout>
                <c:manualLayout>
                  <c:x val="4.2735042735042739E-3"/>
                  <c:y val="1.4894598991002625E-17"/>
                </c:manualLayout>
              </c:layout>
              <c:showVal val="1"/>
            </c:dLbl>
            <c:dLbl>
              <c:idx val="2"/>
              <c:layout>
                <c:manualLayout>
                  <c:x val="6.4102564102564118E-3"/>
                  <c:y val="-3.249768230112251E-3"/>
                </c:manualLayout>
              </c:layout>
              <c:spPr>
                <a:noFill/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3"/>
              <c:layout>
                <c:manualLayout>
                  <c:x val="6.4102564102564118E-3"/>
                  <c:y val="-6.4995364602245019E-3"/>
                </c:manualLayout>
              </c:layout>
              <c:spPr>
                <a:noFill/>
              </c:spPr>
              <c:txPr>
                <a:bodyPr rot="-5400000" vert="horz"/>
                <a:lstStyle/>
                <a:p>
                  <a:pPr>
                    <a:defRPr sz="1100">
                      <a:solidFill>
                        <a:schemeClr val="tx1"/>
                      </a:solidFill>
                      <a:latin typeface="+mn-lt"/>
                    </a:defRPr>
                  </a:pPr>
                  <a:endParaRPr lang="en-US"/>
                </a:p>
              </c:txPr>
              <c:showVal val="1"/>
            </c:dLbl>
            <c:spPr>
              <a:solidFill>
                <a:sysClr val="window" lastClr="FFFFFF"/>
              </a:solidFill>
            </c:spPr>
            <c:txPr>
              <a:bodyPr rot="-5400000" vert="horz"/>
              <a:lstStyle/>
              <a:p>
                <a:pPr>
                  <a:defRPr sz="1100">
                    <a:solidFill>
                      <a:schemeClr val="tx1"/>
                    </a:solidFill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ISI Journals</c:v>
                </c:pt>
                <c:pt idx="1">
                  <c:v>ANCS B+ Journals</c:v>
                </c:pt>
                <c:pt idx="2">
                  <c:v>ANCS B Journals</c:v>
                </c:pt>
                <c:pt idx="3">
                  <c:v>Other journals</c:v>
                </c:pt>
              </c:strCache>
            </c:strRef>
          </c:cat>
          <c:val>
            <c:numRef>
              <c:f>Sheet1!$F$2:$F$5</c:f>
              <c:numCache>
                <c:formatCode>General</c:formatCode>
                <c:ptCount val="4"/>
                <c:pt idx="0">
                  <c:v>158</c:v>
                </c:pt>
                <c:pt idx="1">
                  <c:v>549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Depth val="0"/>
        <c:shape val="box"/>
        <c:axId val="176838528"/>
        <c:axId val="176840064"/>
        <c:axId val="0"/>
      </c:bar3DChart>
      <c:catAx>
        <c:axId val="176838528"/>
        <c:scaling>
          <c:orientation val="minMax"/>
        </c:scaling>
        <c:axPos val="b"/>
        <c:numFmt formatCode="General" sourceLinked="1"/>
        <c:tickLblPos val="low"/>
        <c:spPr>
          <a:ln w="4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76840064"/>
        <c:crosses val="autoZero"/>
        <c:auto val="1"/>
        <c:lblAlgn val="ctr"/>
        <c:lblOffset val="100"/>
        <c:tickLblSkip val="1"/>
        <c:tickMarkSkip val="1"/>
      </c:catAx>
      <c:valAx>
        <c:axId val="176840064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tickLblPos val="nextTo"/>
        <c:spPr>
          <a:ln w="44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76838528"/>
        <c:crosses val="autoZero"/>
        <c:crossBetween val="between"/>
      </c:valAx>
      <c:spPr>
        <a:noFill/>
        <a:ln w="25405">
          <a:noFill/>
        </a:ln>
      </c:spPr>
    </c:plotArea>
    <c:legend>
      <c:legendPos val="b"/>
      <c:layout>
        <c:manualLayout>
          <c:xMode val="edge"/>
          <c:yMode val="edge"/>
          <c:x val="0.15113803082307026"/>
          <c:y val="0.93420422004155101"/>
          <c:w val="0.6652180496668687"/>
          <c:h val="6.2706453041744728E-2"/>
        </c:manualLayout>
      </c:layout>
      <c:txPr>
        <a:bodyPr/>
        <a:lstStyle/>
        <a:p>
          <a:pPr>
            <a:defRPr sz="1100">
              <a:solidFill>
                <a:schemeClr val="tx1"/>
              </a:solidFill>
              <a:latin typeface="+mn-lt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95" b="1" i="0" u="none" strike="noStrike" baseline="0">
          <a:solidFill>
            <a:srgbClr val="FFFFFF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648493543759418E-2"/>
          <c:y val="0.16022562183010119"/>
          <c:w val="0.90530846484935357"/>
          <c:h val="0.64234958975499068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FF00"/>
            </a:solidFill>
            <a:ln w="13048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2.3543602055136111E-3"/>
                  <c:y val="-1.4523529117538741E-2"/>
                </c:manualLayout>
              </c:layout>
              <c:showVal val="1"/>
            </c:dLbl>
            <c:dLbl>
              <c:idx val="1"/>
              <c:layout>
                <c:manualLayout>
                  <c:x val="2.06491862102768E-3"/>
                  <c:y val="-1.3064153418101921E-2"/>
                </c:manualLayout>
              </c:layout>
              <c:showVal val="1"/>
            </c:dLbl>
            <c:dLbl>
              <c:idx val="2"/>
              <c:layout>
                <c:manualLayout>
                  <c:x val="3.3153723660334041E-3"/>
                  <c:y val="-4.6862191655682034E-2"/>
                </c:manualLayout>
              </c:layout>
              <c:showVal val="1"/>
            </c:dLbl>
            <c:dLbl>
              <c:idx val="3"/>
              <c:layout>
                <c:manualLayout>
                  <c:x val="1.4644206199311187E-2"/>
                  <c:y val="-1.9067519717656963E-2"/>
                </c:manualLayout>
              </c:layout>
              <c:showVal val="1"/>
            </c:dLbl>
            <c:dLbl>
              <c:idx val="4"/>
              <c:layout>
                <c:manualLayout>
                  <c:x val="0.12741684290484556"/>
                  <c:y val="-0.66389731971396515"/>
                </c:manualLayout>
              </c:layout>
              <c:spPr>
                <a:noFill/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7101865136298424"/>
                  <c:y val="0.3841201716738219"/>
                </c:manualLayout>
              </c:layout>
              <c:spPr>
                <a:noFill/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657101865136319"/>
                  <c:y val="0.37339055793991588"/>
                </c:manualLayout>
              </c:layout>
              <c:spPr>
                <a:noFill/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4748923959828106"/>
                  <c:y val="0.27896995708154532"/>
                </c:manualLayout>
              </c:layout>
              <c:spPr>
                <a:noFill/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spPr>
              <a:noFill/>
              <a:ln w="260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National symposiums</c:v>
                </c:pt>
                <c:pt idx="1">
                  <c:v>International symposiums, including USAMVCN's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132</c:v>
                </c:pt>
                <c:pt idx="1">
                  <c:v>204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B0F0"/>
            </a:solidFill>
            <a:ln w="13048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054461577301998E-2"/>
                  <c:y val="-1.333597066798837E-2"/>
                </c:manualLayout>
              </c:layout>
              <c:showVal val="1"/>
            </c:dLbl>
            <c:dLbl>
              <c:idx val="1"/>
              <c:layout>
                <c:manualLayout>
                  <c:x val="-1.048175215362524E-3"/>
                  <c:y val="-1.1499688521682979E-2"/>
                </c:manualLayout>
              </c:layout>
              <c:showVal val="1"/>
            </c:dLbl>
            <c:dLbl>
              <c:idx val="2"/>
              <c:layout>
                <c:manualLayout>
                  <c:x val="1.7209893345183871E-2"/>
                  <c:y val="-2.7250021544414006E-2"/>
                </c:manualLayout>
              </c:layout>
              <c:showVal val="1"/>
            </c:dLbl>
            <c:dLbl>
              <c:idx val="3"/>
              <c:layout>
                <c:manualLayout>
                  <c:x val="1.8250402733029664E-2"/>
                  <c:y val="-3.3496474801215925E-2"/>
                </c:manualLayout>
              </c:layout>
              <c:showVal val="1"/>
            </c:dLbl>
            <c:dLbl>
              <c:idx val="4"/>
              <c:layout>
                <c:manualLayout>
                  <c:x val="0.21052476613500226"/>
                  <c:y val="-0.48983762609227982"/>
                </c:manualLayout>
              </c:layout>
              <c:spPr>
                <a:solidFill>
                  <a:schemeClr val="bg1"/>
                </a:solidFill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0258249641320005"/>
                  <c:y val="0.12875536480686745"/>
                </c:manualLayout>
              </c:layout>
              <c:spPr>
                <a:solidFill>
                  <a:schemeClr val="bg1"/>
                </a:solidFill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9296987087518191"/>
                  <c:y val="0.11158798283261798"/>
                </c:manualLayout>
              </c:layout>
              <c:spPr>
                <a:solidFill>
                  <a:schemeClr val="bg1"/>
                </a:solidFill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847919655667146"/>
                  <c:y val="9.2274678111588002E-2"/>
                </c:manualLayout>
              </c:layout>
              <c:spPr>
                <a:solidFill>
                  <a:schemeClr val="bg1"/>
                </a:solidFill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spPr>
              <a:solidFill>
                <a:schemeClr val="bg1"/>
              </a:solidFill>
              <a:ln w="260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National symposiums</c:v>
                </c:pt>
                <c:pt idx="1">
                  <c:v>International symposiums, including USAMVCN's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280</c:v>
                </c:pt>
                <c:pt idx="1">
                  <c:v>460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66FF3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7077389653757605E-2"/>
                  <c:y val="-9.6247557812951714E-3"/>
                </c:manualLayout>
              </c:layout>
              <c:showVal val="1"/>
            </c:dLbl>
            <c:dLbl>
              <c:idx val="1"/>
              <c:layout>
                <c:manualLayout>
                  <c:x val="1.2807874155774369E-2"/>
                  <c:y val="-1.2833007708393646E-2"/>
                </c:manualLayout>
              </c:layout>
              <c:showVal val="1"/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100"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National symposiums</c:v>
                </c:pt>
                <c:pt idx="1">
                  <c:v>International symposiums, including USAMVCN's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  <c:pt idx="0">
                  <c:v>283</c:v>
                </c:pt>
                <c:pt idx="1">
                  <c:v>518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4942715947037909E-2"/>
                  <c:y val="-9.6247557812952338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100"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1.0673368533598498E-2"/>
                  <c:y val="-9.6247557812952338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National symposiums</c:v>
                </c:pt>
                <c:pt idx="1">
                  <c:v>International symposiums, including USAMVCN's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  <c:pt idx="0">
                  <c:v>177</c:v>
                </c:pt>
                <c:pt idx="1">
                  <c:v>351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00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494271594703790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4942715947037909E-2"/>
                  <c:y val="-6.4165038541968257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National symposiums</c:v>
                </c:pt>
                <c:pt idx="1">
                  <c:v>International symposiums, including USAMVCN's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2"/>
                <c:pt idx="0">
                  <c:v>65</c:v>
                </c:pt>
                <c:pt idx="1">
                  <c:v>235</c:v>
                </c:pt>
              </c:numCache>
            </c:numRef>
          </c:val>
        </c:ser>
        <c:gapDepth val="0"/>
        <c:shape val="box"/>
        <c:axId val="179802112"/>
        <c:axId val="179803648"/>
        <c:axId val="0"/>
      </c:bar3DChart>
      <c:catAx>
        <c:axId val="179802112"/>
        <c:scaling>
          <c:orientation val="minMax"/>
        </c:scaling>
        <c:axPos val="b"/>
        <c:numFmt formatCode="General" sourceLinked="1"/>
        <c:tickLblPos val="low"/>
        <c:spPr>
          <a:ln w="130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79803648"/>
        <c:crosses val="autoZero"/>
        <c:auto val="1"/>
        <c:lblAlgn val="ctr"/>
        <c:lblOffset val="100"/>
        <c:tickLblSkip val="1"/>
        <c:tickMarkSkip val="1"/>
      </c:catAx>
      <c:valAx>
        <c:axId val="179803648"/>
        <c:scaling>
          <c:orientation val="minMax"/>
        </c:scaling>
        <c:axPos val="l"/>
        <c:majorGridlines>
          <c:spPr>
            <a:ln w="1304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30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79802112"/>
        <c:crosses val="autoZero"/>
        <c:crossBetween val="between"/>
      </c:valAx>
      <c:spPr>
        <a:noFill/>
        <a:ln w="25404">
          <a:noFill/>
        </a:ln>
      </c:spPr>
    </c:plotArea>
    <c:legend>
      <c:legendPos val="b"/>
      <c:layout>
        <c:manualLayout>
          <c:xMode val="edge"/>
          <c:yMode val="edge"/>
          <c:x val="4.4555682795555239E-2"/>
          <c:y val="0.91526425638530562"/>
          <c:w val="0.50545875161831189"/>
          <c:h val="6.9175247324853611E-2"/>
        </c:manualLayout>
      </c:layout>
      <c:txPr>
        <a:bodyPr/>
        <a:lstStyle/>
        <a:p>
          <a:pPr>
            <a:defRPr sz="1200">
              <a:solidFill>
                <a:schemeClr val="tx1"/>
              </a:solidFill>
              <a:latin typeface="+mn-lt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55" b="1" i="0" u="none" strike="noStrike" baseline="0">
          <a:solidFill>
            <a:schemeClr val="tx1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hPercent val="60"/>
      <c:depthPercent val="100"/>
      <c:rAngAx val="1"/>
    </c:view3D>
    <c:floor>
      <c:spPr>
        <a:solidFill>
          <a:srgbClr val="C0C0C0"/>
        </a:solidFill>
        <a:ln w="3175">
          <a:solidFill>
            <a:schemeClr val="tx1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648493543759515E-2"/>
          <c:y val="0.16022562183010119"/>
          <c:w val="0.90530846484935357"/>
          <c:h val="0.6423495897549906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2007</c:v>
                </c:pt>
              </c:strCache>
            </c:strRef>
          </c:tx>
          <c:spPr>
            <a:solidFill>
              <a:srgbClr val="FFFF00"/>
            </a:solidFill>
            <a:ln w="13048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3038057742782161E-2"/>
                  <c:y val="-1.1312132525111939E-2"/>
                </c:manualLayout>
              </c:layout>
              <c:showVal val="1"/>
            </c:dLbl>
            <c:dLbl>
              <c:idx val="1"/>
              <c:layout>
                <c:manualLayout>
                  <c:x val="1.4885422975974236E-2"/>
                  <c:y val="-1.3064228516405329E-2"/>
                </c:manualLayout>
              </c:layout>
              <c:showVal val="1"/>
            </c:dLbl>
            <c:dLbl>
              <c:idx val="2"/>
              <c:layout>
                <c:manualLayout>
                  <c:x val="3.3153723660334041E-3"/>
                  <c:y val="-4.6862191655682034E-2"/>
                </c:manualLayout>
              </c:layout>
              <c:showVal val="1"/>
            </c:dLbl>
            <c:dLbl>
              <c:idx val="3"/>
              <c:layout>
                <c:manualLayout>
                  <c:x val="1.4644206199311187E-2"/>
                  <c:y val="-1.906751971765697E-2"/>
                </c:manualLayout>
              </c:layout>
              <c:showVal val="1"/>
            </c:dLbl>
            <c:dLbl>
              <c:idx val="4"/>
              <c:layout>
                <c:manualLayout>
                  <c:x val="0.12741684290484556"/>
                  <c:y val="-0.66389731971396515"/>
                </c:manualLayout>
              </c:layout>
              <c:spPr>
                <a:noFill/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7101865136298424"/>
                  <c:y val="0.38412017167382212"/>
                </c:manualLayout>
              </c:layout>
              <c:spPr>
                <a:noFill/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6571018651363212"/>
                  <c:y val="0.37339055793991605"/>
                </c:manualLayout>
              </c:layout>
              <c:spPr>
                <a:noFill/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4748923959828151"/>
                  <c:y val="0.27896995708154532"/>
                </c:manualLayout>
              </c:layout>
              <c:spPr>
                <a:noFill/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spPr>
              <a:noFill/>
              <a:ln w="260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Patents</c:v>
                </c:pt>
                <c:pt idx="1">
                  <c:v>Prizes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solidFill>
              <a:srgbClr val="00B0F0"/>
            </a:solidFill>
            <a:ln w="13048">
              <a:solidFill>
                <a:schemeClr val="tx1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dLbls>
            <c:dLbl>
              <c:idx val="0"/>
              <c:layout>
                <c:manualLayout>
                  <c:x val="1.2681371559324318E-2"/>
                  <c:y val="-1.3336057523569471E-2"/>
                </c:manualLayout>
              </c:layout>
              <c:showVal val="1"/>
            </c:dLbl>
            <c:dLbl>
              <c:idx val="1"/>
              <c:layout>
                <c:manualLayout>
                  <c:x val="1.1772326536106065E-2"/>
                  <c:y val="-1.1499757756103382E-2"/>
                </c:manualLayout>
              </c:layout>
              <c:showVal val="1"/>
            </c:dLbl>
            <c:dLbl>
              <c:idx val="2"/>
              <c:layout>
                <c:manualLayout>
                  <c:x val="1.7209893345183871E-2"/>
                  <c:y val="-2.7250021544414006E-2"/>
                </c:manualLayout>
              </c:layout>
              <c:showVal val="1"/>
            </c:dLbl>
            <c:dLbl>
              <c:idx val="3"/>
              <c:layout>
                <c:manualLayout>
                  <c:x val="1.8250402733029664E-2"/>
                  <c:y val="-3.3496474801215925E-2"/>
                </c:manualLayout>
              </c:layout>
              <c:showVal val="1"/>
            </c:dLbl>
            <c:dLbl>
              <c:idx val="4"/>
              <c:layout>
                <c:manualLayout>
                  <c:x val="0.21052476613500226"/>
                  <c:y val="-0.48983762609227982"/>
                </c:manualLayout>
              </c:layout>
              <c:spPr>
                <a:solidFill>
                  <a:schemeClr val="bg1"/>
                </a:solidFill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0258249641320005"/>
                  <c:y val="0.1287553648068675"/>
                </c:manualLayout>
              </c:layout>
              <c:spPr>
                <a:solidFill>
                  <a:schemeClr val="bg1"/>
                </a:solidFill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6"/>
              <c:layout>
                <c:manualLayout>
                  <c:xMode val="edge"/>
                  <c:yMode val="edge"/>
                  <c:x val="0.69296987087518214"/>
                  <c:y val="0.11158798283261798"/>
                </c:manualLayout>
              </c:layout>
              <c:spPr>
                <a:solidFill>
                  <a:schemeClr val="bg1"/>
                </a:solidFill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847919655667146"/>
                  <c:y val="9.2274678111588002E-2"/>
                </c:manualLayout>
              </c:layout>
              <c:spPr>
                <a:solidFill>
                  <a:schemeClr val="bg1"/>
                </a:solidFill>
                <a:ln w="260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FFFFFF"/>
                      </a:solidFill>
                      <a:latin typeface="+mn-lt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showVal val="1"/>
            </c:dLbl>
            <c:spPr>
              <a:solidFill>
                <a:schemeClr val="bg1"/>
              </a:solidFill>
              <a:ln w="26098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+mn-lt"/>
                    <a:ea typeface="Cambria"/>
                    <a:cs typeface="Cambria"/>
                  </a:defRPr>
                </a:pPr>
                <a:endParaRPr lang="en-U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Patents</c:v>
                </c:pt>
                <c:pt idx="1">
                  <c:v>Prizes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66FF33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8.5470085470085496E-3"/>
                  <c:y val="-6.4227504948552285E-3"/>
                </c:manualLayout>
              </c:layout>
              <c:showVal val="1"/>
            </c:dLbl>
            <c:dLbl>
              <c:idx val="1"/>
              <c:layout>
                <c:manualLayout>
                  <c:x val="1.0683760683760689E-2"/>
                  <c:y val="-9.6341257422828327E-3"/>
                </c:manualLayout>
              </c:layout>
              <c:spPr>
                <a:solidFill>
                  <a:sysClr val="window" lastClr="FFFFFF"/>
                </a:solidFill>
              </c:spPr>
              <c:txPr>
                <a:bodyPr/>
                <a:lstStyle/>
                <a:p>
                  <a:pPr>
                    <a:defRPr sz="1100">
                      <a:latin typeface="+mn-lt"/>
                    </a:defRPr>
                  </a:pPr>
                  <a:endParaRPr lang="en-US"/>
                </a:p>
              </c:txPr>
              <c:showVal val="1"/>
            </c:dLbl>
            <c:txPr>
              <a:bodyPr/>
              <a:lstStyle/>
              <a:p>
                <a:pPr>
                  <a:defRPr sz="1100"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Patents</c:v>
                </c:pt>
                <c:pt idx="1">
                  <c:v>Prizes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12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282051282051282E-2"/>
                  <c:y val="-9.6341257422828327E-3"/>
                </c:manualLayout>
              </c:layout>
              <c:spPr>
                <a:solidFill>
                  <a:schemeClr val="bg1"/>
                </a:solidFill>
              </c:spPr>
              <c:txPr>
                <a:bodyPr/>
                <a:lstStyle/>
                <a:p>
                  <a:pPr>
                    <a:defRPr sz="1100">
                      <a:latin typeface="+mn-lt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layout>
                <c:manualLayout>
                  <c:x val="6.4102564102564118E-3"/>
                  <c:y val="-9.6341257422828327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Patents</c:v>
                </c:pt>
                <c:pt idx="1">
                  <c:v>Prizes 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19</c:v>
                </c:pt>
                <c:pt idx="1">
                  <c:v>11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00FF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dLbls>
            <c:dLbl>
              <c:idx val="0"/>
              <c:layout>
                <c:manualLayout>
                  <c:x val="1.4957264957264954E-2"/>
                  <c:y val="-9.6341257422828327E-3"/>
                </c:manualLayout>
              </c:layout>
              <c:showVal val="1"/>
            </c:dLbl>
            <c:dLbl>
              <c:idx val="1"/>
              <c:layout>
                <c:manualLayout>
                  <c:x val="1.282051282051282E-2"/>
                  <c:y val="-6.4227504948552285E-3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+mn-lt"/>
                  </a:defRPr>
                </a:pPr>
                <a:endParaRPr lang="en-US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Patents</c:v>
                </c:pt>
                <c:pt idx="1">
                  <c:v>Prizes 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2"/>
                <c:pt idx="0">
                  <c:v>7</c:v>
                </c:pt>
                <c:pt idx="1">
                  <c:v>37</c:v>
                </c:pt>
              </c:numCache>
            </c:numRef>
          </c:val>
        </c:ser>
        <c:gapDepth val="0"/>
        <c:shape val="box"/>
        <c:axId val="179828992"/>
        <c:axId val="179937280"/>
        <c:axId val="0"/>
      </c:bar3DChart>
      <c:catAx>
        <c:axId val="179828992"/>
        <c:scaling>
          <c:orientation val="minMax"/>
        </c:scaling>
        <c:axPos val="b"/>
        <c:numFmt formatCode="General" sourceLinked="1"/>
        <c:tickLblPos val="low"/>
        <c:spPr>
          <a:ln w="130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79937280"/>
        <c:crosses val="autoZero"/>
        <c:auto val="1"/>
        <c:lblAlgn val="ctr"/>
        <c:lblOffset val="100"/>
        <c:tickLblSkip val="1"/>
        <c:tickMarkSkip val="1"/>
      </c:catAx>
      <c:valAx>
        <c:axId val="179937280"/>
        <c:scaling>
          <c:orientation val="minMax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General" sourceLinked="1"/>
        <c:tickLblPos val="nextTo"/>
        <c:spPr>
          <a:ln w="130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+mn-lt"/>
                <a:ea typeface="Cambria"/>
                <a:cs typeface="Cambria"/>
              </a:defRPr>
            </a:pPr>
            <a:endParaRPr lang="en-US"/>
          </a:p>
        </c:txPr>
        <c:crossAx val="179828992"/>
        <c:crosses val="autoZero"/>
        <c:crossBetween val="between"/>
      </c:valAx>
      <c:spPr>
        <a:noFill/>
        <a:ln w="25404">
          <a:noFill/>
        </a:ln>
      </c:spPr>
    </c:plotArea>
    <c:legend>
      <c:legendPos val="b"/>
      <c:layout>
        <c:manualLayout>
          <c:xMode val="edge"/>
          <c:yMode val="edge"/>
          <c:x val="0.24754710949592845"/>
          <c:y val="0.89920732132869008"/>
          <c:w val="0.60903896628306098"/>
          <c:h val="6.5844571460938042E-2"/>
        </c:manualLayout>
      </c:layout>
      <c:txPr>
        <a:bodyPr/>
        <a:lstStyle/>
        <a:p>
          <a:pPr>
            <a:defRPr sz="1200">
              <a:solidFill>
                <a:schemeClr val="tx1"/>
              </a:solidFill>
              <a:latin typeface="+mn-lt"/>
            </a:defRPr>
          </a:pPr>
          <a:endParaRPr lang="en-U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055" b="1" i="0" u="none" strike="noStrike" baseline="0">
          <a:solidFill>
            <a:schemeClr val="tx1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0.12272</cdr:x>
      <cdr:y>0.02861</cdr:y>
    </cdr:from>
    <cdr:to>
      <cdr:x>0.93343</cdr:x>
      <cdr:y>0.09734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63191" y="94509"/>
          <a:ext cx="4381082" cy="2270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b="1">
              <a:latin typeface="+mn-lt"/>
              <a:ea typeface="+mn-ea"/>
              <a:cs typeface="+mn-cs"/>
            </a:rPr>
            <a:t>The evolution of the research </a:t>
          </a:r>
          <a:r>
            <a:rPr lang="ro-RO" sz="1200" b="1">
              <a:latin typeface="+mn-lt"/>
              <a:ea typeface="+mn-ea"/>
              <a:cs typeface="+mn-cs"/>
            </a:rPr>
            <a:t>financing</a:t>
          </a:r>
          <a:r>
            <a:rPr lang="ro-RO" sz="1200" b="1" baseline="0">
              <a:latin typeface="+mn-lt"/>
              <a:ea typeface="+mn-ea"/>
              <a:cs typeface="+mn-cs"/>
            </a:rPr>
            <a:t> </a:t>
          </a:r>
          <a:r>
            <a:rPr lang="en-US" sz="1200" b="1">
              <a:latin typeface="+mn-lt"/>
              <a:ea typeface="+mn-ea"/>
              <a:cs typeface="+mn-cs"/>
            </a:rPr>
            <a:t>contracts number</a:t>
          </a:r>
        </a:p>
        <a:p xmlns:a="http://schemas.openxmlformats.org/drawingml/2006/main">
          <a:pPr algn="ctr"/>
          <a:endParaRPr lang="en-US" sz="12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0.20464</cdr:x>
      <cdr:y>0.01482</cdr:y>
    </cdr:from>
    <cdr:to>
      <cdr:x>0.89706</cdr:x>
      <cdr:y>0.07887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27819" y="56648"/>
          <a:ext cx="3815970" cy="2448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o-RO" sz="1100" b="1">
              <a:latin typeface="+mn-lt"/>
              <a:ea typeface="+mn-ea"/>
              <a:cs typeface="+mn-cs"/>
            </a:rPr>
            <a:t>Number of r</a:t>
          </a:r>
          <a:r>
            <a:rPr lang="en-US" sz="1100" b="1">
              <a:latin typeface="+mn-lt"/>
              <a:ea typeface="+mn-ea"/>
              <a:cs typeface="+mn-cs"/>
            </a:rPr>
            <a:t>esearch contracts</a:t>
          </a:r>
          <a:r>
            <a:rPr lang="ro-RO" sz="1100" b="1">
              <a:latin typeface="+mn-lt"/>
              <a:ea typeface="+mn-ea"/>
              <a:cs typeface="+mn-cs"/>
            </a:rPr>
            <a:t>, by financing source</a:t>
          </a:r>
          <a:endParaRPr lang="en-US" sz="1100" b="1">
            <a:latin typeface="+mn-lt"/>
            <a:ea typeface="+mn-ea"/>
            <a:cs typeface="+mn-cs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0.18279</cdr:x>
      <cdr:y>3.00473E-7</cdr:y>
    </cdr:from>
    <cdr:to>
      <cdr:x>0.91026</cdr:x>
      <cdr:y>0.07246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5029" y="1"/>
          <a:ext cx="4158981" cy="2411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>
              <a:latin typeface="+mn-lt"/>
              <a:ea typeface="+mn-ea"/>
              <a:cs typeface="+mn-cs"/>
            </a:rPr>
            <a:t>The evolution of the research contracts financing</a:t>
          </a:r>
          <a:r>
            <a:rPr lang="ro-RO" sz="1100" b="1">
              <a:latin typeface="+mn-lt"/>
              <a:ea typeface="+mn-ea"/>
              <a:cs typeface="+mn-cs"/>
            </a:rPr>
            <a:t> amount </a:t>
          </a:r>
          <a:r>
            <a:rPr lang="en-US" sz="1100" b="1">
              <a:latin typeface="+mn-lt"/>
              <a:ea typeface="+mn-ea"/>
              <a:cs typeface="+mn-cs"/>
            </a:rPr>
            <a:t> (ROL)</a:t>
          </a:r>
        </a:p>
      </cdr:txBody>
    </cdr:sp>
  </cdr:relSizeAnchor>
  <cdr:relSizeAnchor xmlns:cdr="http://schemas.openxmlformats.org/drawingml/2006/chartDrawing">
    <cdr:from>
      <cdr:x>0.21245</cdr:x>
      <cdr:y>0.11385</cdr:y>
    </cdr:from>
    <cdr:to>
      <cdr:x>0.90842</cdr:x>
      <cdr:y>0.17846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62743" y="402771"/>
          <a:ext cx="4136571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o-RO" sz="1100" b="1"/>
            <a:t>≈6.8</a:t>
          </a:r>
          <a:r>
            <a:rPr lang="ro-RO" sz="1100" b="1" baseline="0"/>
            <a:t> M€              ≈7 M</a:t>
          </a:r>
          <a:r>
            <a:rPr lang="ro-RO" sz="1100" b="1" baseline="0">
              <a:latin typeface="Calibri"/>
            </a:rPr>
            <a:t>€               ≈3.8 M€             ≈5 M€         ≈5.7M€</a:t>
          </a:r>
          <a:endParaRPr lang="en-US" sz="1100" b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0.23443</cdr:x>
      <cdr:y>0</cdr:y>
    </cdr:from>
    <cdr:to>
      <cdr:x>0.837</cdr:x>
      <cdr:y>0.07903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93371" y="0"/>
          <a:ext cx="3581400" cy="283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>
              <a:latin typeface="+mn-lt"/>
              <a:ea typeface="+mn-ea"/>
              <a:cs typeface="+mn-cs"/>
            </a:rPr>
            <a:t>Structure of the research contracts financing (ROL)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0.17357</cdr:x>
      <cdr:y>0</cdr:y>
    </cdr:from>
    <cdr:to>
      <cdr:x>0.87743</cdr:x>
      <cdr:y>0.06428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31617" y="0"/>
          <a:ext cx="4183477" cy="2512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>
              <a:latin typeface="+mn-lt"/>
              <a:ea typeface="+mn-ea"/>
              <a:cs typeface="+mn-cs"/>
            </a:rPr>
            <a:t>Structure and evolution of the</a:t>
          </a:r>
          <a:r>
            <a:rPr lang="ro-RO" sz="1100" b="1">
              <a:latin typeface="+mn-lt"/>
              <a:ea typeface="+mn-ea"/>
              <a:cs typeface="+mn-cs"/>
            </a:rPr>
            <a:t> number of</a:t>
          </a:r>
          <a:r>
            <a:rPr lang="en-US" sz="1100" b="1">
              <a:latin typeface="+mn-lt"/>
              <a:ea typeface="+mn-ea"/>
              <a:cs typeface="+mn-cs"/>
            </a:rPr>
            <a:t> </a:t>
          </a:r>
          <a:r>
            <a:rPr lang="ro-RO" sz="1100" b="1">
              <a:latin typeface="+mn-lt"/>
              <a:ea typeface="+mn-ea"/>
              <a:cs typeface="+mn-cs"/>
            </a:rPr>
            <a:t>publis</a:t>
          </a:r>
          <a:r>
            <a:rPr lang="en-US" sz="1100" b="1">
              <a:latin typeface="+mn-lt"/>
              <a:ea typeface="+mn-ea"/>
              <a:cs typeface="+mn-cs"/>
            </a:rPr>
            <a:t>h</a:t>
          </a:r>
          <a:r>
            <a:rPr lang="ro-RO" sz="1100" b="1">
              <a:latin typeface="+mn-lt"/>
              <a:ea typeface="+mn-ea"/>
              <a:cs typeface="+mn-cs"/>
            </a:rPr>
            <a:t>ed articles</a:t>
          </a:r>
          <a:endParaRPr lang="en-US" sz="1100">
            <a:latin typeface="+mn-lt"/>
            <a:ea typeface="+mn-ea"/>
            <a:cs typeface="+mn-cs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0.17916</cdr:x>
      <cdr:y>0.02693</cdr:y>
    </cdr:from>
    <cdr:to>
      <cdr:x>0.88608</cdr:x>
      <cdr:y>0.09874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4871" y="104172"/>
          <a:ext cx="4201610" cy="2777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en-US" sz="1200" b="1"/>
            <a:t>Scientific events attendance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0.17916</cdr:x>
      <cdr:y>0.02693</cdr:y>
    </cdr:from>
    <cdr:to>
      <cdr:x>0.88608</cdr:x>
      <cdr:y>0.09874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4871" y="104172"/>
          <a:ext cx="4201610" cy="27779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200" b="1">
              <a:latin typeface="+mn-lt"/>
              <a:ea typeface="+mn-ea"/>
              <a:cs typeface="+mn-cs"/>
            </a:rPr>
            <a:t>Patents and scientific prices awarded (Romanian Academy, exhibitions, etc.)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E6511-E31E-424E-98EE-9AA05201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2012-04-26T10:09:00Z</cp:lastPrinted>
  <dcterms:created xsi:type="dcterms:W3CDTF">2012-04-26T09:45:00Z</dcterms:created>
  <dcterms:modified xsi:type="dcterms:W3CDTF">2012-04-26T10:21:00Z</dcterms:modified>
</cp:coreProperties>
</file>